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EEB" w:rsidRPr="00606EEB" w:rsidRDefault="00BC15A2">
      <w:pPr>
        <w:rPr>
          <w:rFonts w:ascii="Arial" w:hAnsi="Arial" w:cs="Arial"/>
          <w:sz w:val="24"/>
          <w:szCs w:val="24"/>
          <w:highlight w:val="yellow"/>
        </w:rPr>
      </w:pPr>
      <w:r w:rsidRPr="00606EEB">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2562166</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4C0" w:rsidRDefault="00BC15A2" w:rsidP="00606EEB">
                            <w:pPr>
                              <w:spacing w:after="0"/>
                              <w:ind w:right="-46"/>
                              <w:rPr>
                                <w:rFonts w:cs="Arial"/>
                                <w:b/>
                                <w:bCs/>
                                <w:sz w:val="52"/>
                                <w:szCs w:val="52"/>
                              </w:rPr>
                            </w:pPr>
                          </w:p>
                          <w:p w:rsidR="005844C0" w:rsidRPr="0037393E" w:rsidRDefault="00BC15A2" w:rsidP="00606EEB">
                            <w:pPr>
                              <w:spacing w:after="0"/>
                              <w:ind w:right="-46"/>
                              <w:rPr>
                                <w:rFonts w:cs="Arial"/>
                                <w:b/>
                                <w:bCs/>
                                <w:sz w:val="52"/>
                                <w:szCs w:val="52"/>
                              </w:rPr>
                            </w:pPr>
                          </w:p>
                          <w:p w:rsidR="005844C0" w:rsidRPr="00606EEB" w:rsidRDefault="00BC15A2" w:rsidP="00606EEB">
                            <w:pPr>
                              <w:spacing w:after="0"/>
                              <w:ind w:right="-46"/>
                              <w:rPr>
                                <w:rFonts w:cs="Arial"/>
                                <w:b/>
                                <w:bCs/>
                                <w:sz w:val="52"/>
                                <w:szCs w:val="52"/>
                              </w:rPr>
                            </w:pPr>
                            <w:r w:rsidRPr="00606EEB">
                              <w:rPr>
                                <w:rFonts w:cs="Arial"/>
                                <w:b/>
                                <w:bCs/>
                                <w:sz w:val="52"/>
                                <w:szCs w:val="52"/>
                              </w:rPr>
                              <w:t>Money Matters</w:t>
                            </w:r>
                          </w:p>
                          <w:p w:rsidR="005844C0" w:rsidRPr="00606EEB" w:rsidRDefault="00BC15A2" w:rsidP="00606EEB">
                            <w:pPr>
                              <w:spacing w:after="0"/>
                              <w:ind w:right="-46"/>
                              <w:rPr>
                                <w:rFonts w:cs="Arial"/>
                                <w:b/>
                                <w:bCs/>
                                <w:sz w:val="52"/>
                                <w:szCs w:val="52"/>
                              </w:rPr>
                            </w:pPr>
                            <w:r w:rsidRPr="00606EEB">
                              <w:rPr>
                                <w:rFonts w:cs="Arial"/>
                                <w:b/>
                                <w:bCs/>
                                <w:sz w:val="52"/>
                                <w:szCs w:val="52"/>
                              </w:rPr>
                              <w:t xml:space="preserve">The County Council's Revenue Financial Position </w:t>
                            </w:r>
                          </w:p>
                          <w:p w:rsidR="005844C0" w:rsidRDefault="00BC15A2" w:rsidP="00606EEB">
                            <w:pPr>
                              <w:spacing w:after="0"/>
                              <w:ind w:right="-46"/>
                              <w:rPr>
                                <w:rFonts w:cs="Arial"/>
                                <w:b/>
                                <w:bCs/>
                                <w:sz w:val="52"/>
                                <w:szCs w:val="52"/>
                              </w:rPr>
                            </w:pPr>
                            <w:r w:rsidRPr="00606EEB">
                              <w:rPr>
                                <w:rFonts w:cs="Arial"/>
                                <w:b/>
                                <w:bCs/>
                                <w:sz w:val="52"/>
                                <w:szCs w:val="52"/>
                              </w:rPr>
                              <w:t>2019/20 Quarter 3</w:t>
                            </w:r>
                          </w:p>
                          <w:p w:rsidR="005844C0" w:rsidRPr="0037393E" w:rsidRDefault="00BC15A2" w:rsidP="00606EEB">
                            <w:pPr>
                              <w:spacing w:after="0"/>
                              <w:ind w:right="-46"/>
                              <w:rPr>
                                <w:rFonts w:cs="Arial"/>
                                <w:b/>
                                <w:bCs/>
                                <w:sz w:val="52"/>
                                <w:szCs w:val="52"/>
                              </w:rPr>
                            </w:pPr>
                          </w:p>
                          <w:p w:rsidR="005844C0" w:rsidRPr="0037393E" w:rsidRDefault="00BC15A2" w:rsidP="00606EEB">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201.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filled="f" stroked="f">
                <v:textbox>
                  <w:txbxContent>
                    <w:p w:rsidR="005844C0" w:rsidP="00606EEB">
                      <w:pPr>
                        <w:spacing w:after="0"/>
                        <w:ind w:right="-46"/>
                        <w:rPr>
                          <w:rFonts w:cs="Arial"/>
                          <w:b/>
                          <w:bCs/>
                          <w:sz w:val="52"/>
                          <w:szCs w:val="52"/>
                        </w:rPr>
                      </w:pPr>
                    </w:p>
                    <w:p w:rsidR="005844C0" w:rsidRPr="0037393E" w:rsidP="00606EEB">
                      <w:pPr>
                        <w:spacing w:after="0"/>
                        <w:ind w:right="-46"/>
                        <w:rPr>
                          <w:rFonts w:cs="Arial"/>
                          <w:b/>
                          <w:bCs/>
                          <w:sz w:val="52"/>
                          <w:szCs w:val="52"/>
                        </w:rPr>
                      </w:pPr>
                    </w:p>
                    <w:p w:rsidR="005844C0" w:rsidRPr="00606EEB" w:rsidP="00606EEB">
                      <w:pPr>
                        <w:spacing w:after="0"/>
                        <w:ind w:right="-46"/>
                        <w:rPr>
                          <w:rFonts w:cs="Arial"/>
                          <w:b/>
                          <w:bCs/>
                          <w:sz w:val="52"/>
                          <w:szCs w:val="52"/>
                        </w:rPr>
                      </w:pPr>
                      <w:r w:rsidRPr="00606EEB">
                        <w:rPr>
                          <w:rFonts w:cs="Arial"/>
                          <w:b/>
                          <w:bCs/>
                          <w:sz w:val="52"/>
                          <w:szCs w:val="52"/>
                        </w:rPr>
                        <w:t>Money Matters</w:t>
                      </w:r>
                    </w:p>
                    <w:p w:rsidR="005844C0" w:rsidRPr="00606EEB" w:rsidP="00606EEB">
                      <w:pPr>
                        <w:spacing w:after="0"/>
                        <w:ind w:right="-46"/>
                        <w:rPr>
                          <w:rFonts w:cs="Arial"/>
                          <w:b/>
                          <w:bCs/>
                          <w:sz w:val="52"/>
                          <w:szCs w:val="52"/>
                        </w:rPr>
                      </w:pPr>
                      <w:r w:rsidRPr="00606EEB">
                        <w:rPr>
                          <w:rFonts w:cs="Arial"/>
                          <w:b/>
                          <w:bCs/>
                          <w:sz w:val="52"/>
                          <w:szCs w:val="52"/>
                        </w:rPr>
                        <w:t xml:space="preserve">The County Council's Revenue Financial Position </w:t>
                      </w:r>
                    </w:p>
                    <w:p w:rsidR="005844C0" w:rsidP="00606EEB">
                      <w:pPr>
                        <w:spacing w:after="0"/>
                        <w:ind w:right="-46"/>
                        <w:rPr>
                          <w:rFonts w:cs="Arial"/>
                          <w:b/>
                          <w:bCs/>
                          <w:sz w:val="52"/>
                          <w:szCs w:val="52"/>
                        </w:rPr>
                      </w:pPr>
                      <w:r w:rsidRPr="00606EEB">
                        <w:rPr>
                          <w:rFonts w:cs="Arial"/>
                          <w:b/>
                          <w:bCs/>
                          <w:sz w:val="52"/>
                          <w:szCs w:val="52"/>
                        </w:rPr>
                        <w:t>2019/20 Quarter 3</w:t>
                      </w:r>
                    </w:p>
                    <w:p w:rsidR="005844C0" w:rsidRPr="0037393E" w:rsidP="00606EEB">
                      <w:pPr>
                        <w:spacing w:after="0"/>
                        <w:ind w:right="-46"/>
                        <w:rPr>
                          <w:rFonts w:cs="Arial"/>
                          <w:b/>
                          <w:bCs/>
                          <w:sz w:val="52"/>
                          <w:szCs w:val="52"/>
                        </w:rPr>
                      </w:pPr>
                    </w:p>
                    <w:p w:rsidR="005844C0" w:rsidRPr="0037393E" w:rsidP="00606EEB">
                      <w:pPr>
                        <w:spacing w:after="0"/>
                        <w:ind w:right="-46"/>
                        <w:rPr>
                          <w:rFonts w:cs="Arial"/>
                          <w:b/>
                          <w:bCs/>
                          <w:sz w:val="52"/>
                          <w:szCs w:val="52"/>
                        </w:rPr>
                      </w:pPr>
                    </w:p>
                  </w:txbxContent>
                </v:textbox>
                <w10:wrap anchorx="margin"/>
              </v:shape>
            </w:pict>
          </mc:Fallback>
        </mc:AlternateContent>
      </w:r>
      <w:r w:rsidRPr="00606EEB">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-900430</wp:posOffset>
            </wp:positionV>
            <wp:extent cx="10685145" cy="7548741"/>
            <wp:effectExtent l="0" t="0" r="1905" b="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85145" cy="75487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EEB">
        <w:rPr>
          <w:rFonts w:ascii="Arial" w:hAnsi="Arial" w:cs="Arial"/>
          <w:sz w:val="24"/>
          <w:szCs w:val="24"/>
          <w:highlight w:val="yellow"/>
        </w:rPr>
        <w:br w:type="page"/>
      </w:r>
    </w:p>
    <w:tbl>
      <w:tblPr>
        <w:tblStyle w:val="TableGrid"/>
        <w:tblW w:w="10627" w:type="dxa"/>
        <w:tblLook w:val="04A0" w:firstRow="1" w:lastRow="0" w:firstColumn="1" w:lastColumn="0" w:noHBand="0" w:noVBand="1"/>
      </w:tblPr>
      <w:tblGrid>
        <w:gridCol w:w="562"/>
        <w:gridCol w:w="8789"/>
        <w:gridCol w:w="1276"/>
      </w:tblGrid>
      <w:tr w:rsidR="006A7256" w:rsidTr="005844C0">
        <w:trPr>
          <w:trHeight w:val="567"/>
        </w:trPr>
        <w:tc>
          <w:tcPr>
            <w:tcW w:w="562" w:type="dxa"/>
          </w:tcPr>
          <w:p w:rsidR="00606EEB" w:rsidRPr="00606EEB" w:rsidRDefault="00BC15A2" w:rsidP="00606EEB">
            <w:pPr>
              <w:ind w:right="-46"/>
              <w:jc w:val="center"/>
              <w:rPr>
                <w:rFonts w:cs="Arial"/>
                <w:b/>
                <w:bCs/>
                <w:sz w:val="24"/>
                <w:szCs w:val="24"/>
                <w:highlight w:val="yellow"/>
              </w:rPr>
            </w:pPr>
          </w:p>
        </w:tc>
        <w:tc>
          <w:tcPr>
            <w:tcW w:w="8789" w:type="dxa"/>
          </w:tcPr>
          <w:p w:rsidR="00606EEB" w:rsidRPr="00606EEB" w:rsidRDefault="00BC15A2" w:rsidP="00606EEB">
            <w:pPr>
              <w:ind w:right="-46"/>
              <w:rPr>
                <w:rFonts w:cs="Arial"/>
                <w:b/>
                <w:bCs/>
                <w:sz w:val="24"/>
                <w:szCs w:val="24"/>
                <w:highlight w:val="yellow"/>
              </w:rPr>
            </w:pPr>
            <w:r w:rsidRPr="00CC4FDE">
              <w:rPr>
                <w:rFonts w:cs="Arial"/>
                <w:b/>
                <w:bCs/>
                <w:sz w:val="24"/>
                <w:szCs w:val="24"/>
              </w:rPr>
              <w:t>Contents</w:t>
            </w:r>
          </w:p>
        </w:tc>
        <w:tc>
          <w:tcPr>
            <w:tcW w:w="1276" w:type="dxa"/>
          </w:tcPr>
          <w:p w:rsidR="00606EEB" w:rsidRPr="00606EEB" w:rsidRDefault="00BC15A2" w:rsidP="00606EEB">
            <w:pPr>
              <w:ind w:right="-46"/>
              <w:jc w:val="center"/>
              <w:rPr>
                <w:rFonts w:cs="Arial"/>
                <w:b/>
                <w:bCs/>
                <w:sz w:val="24"/>
                <w:szCs w:val="24"/>
                <w:highlight w:val="yellow"/>
              </w:rPr>
            </w:pPr>
            <w:r w:rsidRPr="00CC4FDE">
              <w:rPr>
                <w:rFonts w:cs="Arial"/>
                <w:b/>
                <w:bCs/>
                <w:sz w:val="24"/>
                <w:szCs w:val="24"/>
              </w:rPr>
              <w:t>Page</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1</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Summary Revenue Budget Monitoring Position as at 31st December 2019</w:t>
            </w:r>
          </w:p>
        </w:tc>
        <w:tc>
          <w:tcPr>
            <w:tcW w:w="1276" w:type="dxa"/>
            <w:vAlign w:val="center"/>
          </w:tcPr>
          <w:p w:rsidR="00606EEB" w:rsidRPr="00CC4FDE" w:rsidRDefault="00BC15A2" w:rsidP="00CC4FDE">
            <w:pPr>
              <w:ind w:right="-46"/>
              <w:jc w:val="center"/>
              <w:rPr>
                <w:rFonts w:cs="Arial"/>
                <w:b/>
                <w:bCs/>
                <w:sz w:val="24"/>
                <w:szCs w:val="24"/>
              </w:rPr>
            </w:pPr>
            <w:r w:rsidRPr="00CC4FDE">
              <w:rPr>
                <w:rFonts w:cs="Arial"/>
                <w:b/>
                <w:bCs/>
                <w:sz w:val="24"/>
                <w:szCs w:val="24"/>
              </w:rPr>
              <w:t>3</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2</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Executive Summary</w:t>
            </w:r>
          </w:p>
        </w:tc>
        <w:tc>
          <w:tcPr>
            <w:tcW w:w="1276" w:type="dxa"/>
            <w:vAlign w:val="center"/>
          </w:tcPr>
          <w:p w:rsidR="00606EEB" w:rsidRPr="00CC4FDE" w:rsidRDefault="00BC15A2" w:rsidP="00CC4FDE">
            <w:pPr>
              <w:ind w:right="-46"/>
              <w:jc w:val="center"/>
              <w:rPr>
                <w:rFonts w:cs="Arial"/>
                <w:b/>
                <w:bCs/>
                <w:sz w:val="24"/>
                <w:szCs w:val="24"/>
              </w:rPr>
            </w:pPr>
            <w:r w:rsidRPr="00CC4FDE">
              <w:rPr>
                <w:rFonts w:cs="Arial"/>
                <w:b/>
                <w:bCs/>
                <w:sz w:val="24"/>
                <w:szCs w:val="24"/>
              </w:rPr>
              <w:t>4</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3</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Adult Services</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6</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4</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 xml:space="preserve">Policy, Information and </w:t>
            </w:r>
            <w:r w:rsidRPr="00CC4FDE">
              <w:rPr>
                <w:rFonts w:cs="Arial"/>
                <w:b/>
                <w:bCs/>
                <w:sz w:val="24"/>
                <w:szCs w:val="24"/>
              </w:rPr>
              <w:t>Commissioning</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8</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5</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Public Health &amp; Wellbeing</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9</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6</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Education and Children's Services</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10</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7</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Growth, Environment and Planning Services</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13</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8</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Highways and Transport</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14</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sidRPr="00CC4FDE">
              <w:rPr>
                <w:rFonts w:cs="Arial"/>
                <w:b/>
                <w:bCs/>
                <w:sz w:val="24"/>
                <w:szCs w:val="24"/>
              </w:rPr>
              <w:t>9</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Finance</w:t>
            </w:r>
          </w:p>
        </w:tc>
        <w:tc>
          <w:tcPr>
            <w:tcW w:w="1276" w:type="dxa"/>
            <w:vAlign w:val="center"/>
          </w:tcPr>
          <w:p w:rsidR="00606EEB" w:rsidRPr="00CC4FDE" w:rsidRDefault="00BC15A2" w:rsidP="00CC4FDE">
            <w:pPr>
              <w:ind w:right="-46"/>
              <w:jc w:val="center"/>
              <w:rPr>
                <w:rFonts w:cs="Arial"/>
                <w:b/>
                <w:bCs/>
                <w:sz w:val="24"/>
                <w:szCs w:val="24"/>
              </w:rPr>
            </w:pPr>
            <w:r>
              <w:rPr>
                <w:rFonts w:cs="Arial"/>
                <w:b/>
                <w:bCs/>
                <w:sz w:val="24"/>
                <w:szCs w:val="24"/>
              </w:rPr>
              <w:t>16</w:t>
            </w:r>
          </w:p>
        </w:tc>
      </w:tr>
      <w:tr w:rsidR="006A7256" w:rsidTr="005844C0">
        <w:trPr>
          <w:trHeight w:val="567"/>
        </w:trPr>
        <w:tc>
          <w:tcPr>
            <w:tcW w:w="562" w:type="dxa"/>
            <w:vAlign w:val="center"/>
          </w:tcPr>
          <w:p w:rsidR="003D2BA1" w:rsidRPr="00CC4FDE" w:rsidRDefault="00BC15A2" w:rsidP="00606EEB">
            <w:pPr>
              <w:ind w:right="-46"/>
              <w:rPr>
                <w:rFonts w:cs="Arial"/>
                <w:b/>
                <w:bCs/>
                <w:sz w:val="24"/>
                <w:szCs w:val="24"/>
              </w:rPr>
            </w:pPr>
            <w:r>
              <w:rPr>
                <w:rFonts w:cs="Arial"/>
                <w:b/>
                <w:bCs/>
                <w:sz w:val="24"/>
                <w:szCs w:val="24"/>
              </w:rPr>
              <w:t>10</w:t>
            </w:r>
          </w:p>
        </w:tc>
        <w:tc>
          <w:tcPr>
            <w:tcW w:w="8789" w:type="dxa"/>
            <w:vAlign w:val="center"/>
          </w:tcPr>
          <w:p w:rsidR="003D2BA1" w:rsidRPr="00CC4FDE" w:rsidRDefault="00BC15A2" w:rsidP="00606EEB">
            <w:pPr>
              <w:ind w:right="-46"/>
              <w:rPr>
                <w:rFonts w:cs="Arial"/>
                <w:b/>
                <w:bCs/>
                <w:sz w:val="24"/>
                <w:szCs w:val="24"/>
              </w:rPr>
            </w:pPr>
            <w:r>
              <w:rPr>
                <w:rFonts w:cs="Arial"/>
                <w:b/>
                <w:bCs/>
                <w:sz w:val="24"/>
                <w:szCs w:val="24"/>
              </w:rPr>
              <w:t>Corporate Services</w:t>
            </w:r>
          </w:p>
        </w:tc>
        <w:tc>
          <w:tcPr>
            <w:tcW w:w="1276" w:type="dxa"/>
            <w:vAlign w:val="center"/>
          </w:tcPr>
          <w:p w:rsidR="003D2BA1" w:rsidRPr="00CC4FDE" w:rsidRDefault="00BC15A2" w:rsidP="00CC4FDE">
            <w:pPr>
              <w:ind w:right="-46"/>
              <w:jc w:val="center"/>
              <w:rPr>
                <w:rFonts w:cs="Arial"/>
                <w:b/>
                <w:bCs/>
                <w:sz w:val="24"/>
                <w:szCs w:val="24"/>
              </w:rPr>
            </w:pPr>
            <w:r>
              <w:rPr>
                <w:rFonts w:cs="Arial"/>
                <w:b/>
                <w:bCs/>
                <w:sz w:val="24"/>
                <w:szCs w:val="24"/>
              </w:rPr>
              <w:t>17</w:t>
            </w:r>
          </w:p>
        </w:tc>
      </w:tr>
      <w:tr w:rsidR="006A7256" w:rsidTr="005844C0">
        <w:trPr>
          <w:trHeight w:val="567"/>
        </w:trPr>
        <w:tc>
          <w:tcPr>
            <w:tcW w:w="562" w:type="dxa"/>
            <w:vAlign w:val="center"/>
          </w:tcPr>
          <w:p w:rsidR="00606EEB" w:rsidRPr="00CC4FDE" w:rsidRDefault="00BC15A2" w:rsidP="00606EEB">
            <w:pPr>
              <w:ind w:right="-46"/>
              <w:rPr>
                <w:rFonts w:cs="Arial"/>
                <w:b/>
                <w:bCs/>
                <w:sz w:val="24"/>
                <w:szCs w:val="24"/>
              </w:rPr>
            </w:pPr>
            <w:r>
              <w:rPr>
                <w:rFonts w:cs="Arial"/>
                <w:b/>
                <w:bCs/>
                <w:sz w:val="24"/>
                <w:szCs w:val="24"/>
              </w:rPr>
              <w:t>11</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Strategy and Performance</w:t>
            </w:r>
          </w:p>
        </w:tc>
        <w:tc>
          <w:tcPr>
            <w:tcW w:w="1276" w:type="dxa"/>
            <w:vAlign w:val="center"/>
          </w:tcPr>
          <w:p w:rsidR="00606EEB" w:rsidRPr="00CC4FDE" w:rsidRDefault="00BC15A2" w:rsidP="00C159D8">
            <w:pPr>
              <w:ind w:right="-46"/>
              <w:jc w:val="center"/>
              <w:rPr>
                <w:rFonts w:cs="Arial"/>
                <w:b/>
                <w:bCs/>
                <w:sz w:val="24"/>
                <w:szCs w:val="24"/>
              </w:rPr>
            </w:pPr>
            <w:r w:rsidRPr="00CC4FDE">
              <w:rPr>
                <w:rFonts w:cs="Arial"/>
                <w:b/>
                <w:bCs/>
                <w:sz w:val="24"/>
                <w:szCs w:val="24"/>
              </w:rPr>
              <w:t>1</w:t>
            </w:r>
            <w:r>
              <w:rPr>
                <w:rFonts w:cs="Arial"/>
                <w:b/>
                <w:bCs/>
                <w:sz w:val="24"/>
                <w:szCs w:val="24"/>
              </w:rPr>
              <w:t>8</w:t>
            </w:r>
          </w:p>
        </w:tc>
      </w:tr>
      <w:tr w:rsidR="006A7256" w:rsidTr="005844C0">
        <w:trPr>
          <w:trHeight w:val="567"/>
        </w:trPr>
        <w:tc>
          <w:tcPr>
            <w:tcW w:w="562" w:type="dxa"/>
            <w:vAlign w:val="center"/>
          </w:tcPr>
          <w:p w:rsidR="00606EEB" w:rsidRPr="00CC4FDE" w:rsidRDefault="00BC15A2" w:rsidP="006F46DC">
            <w:pPr>
              <w:spacing w:before="120" w:after="120"/>
              <w:ind w:right="-45"/>
              <w:rPr>
                <w:rFonts w:cs="Arial"/>
                <w:b/>
                <w:bCs/>
                <w:sz w:val="24"/>
                <w:szCs w:val="24"/>
              </w:rPr>
            </w:pPr>
            <w:r>
              <w:rPr>
                <w:rFonts w:cs="Arial"/>
                <w:b/>
                <w:bCs/>
                <w:sz w:val="24"/>
                <w:szCs w:val="24"/>
              </w:rPr>
              <w:t>12</w:t>
            </w:r>
          </w:p>
        </w:tc>
        <w:tc>
          <w:tcPr>
            <w:tcW w:w="8789" w:type="dxa"/>
            <w:vAlign w:val="center"/>
          </w:tcPr>
          <w:p w:rsidR="00606EEB" w:rsidRPr="00CC4FDE" w:rsidRDefault="00BC15A2" w:rsidP="00606EEB">
            <w:pPr>
              <w:ind w:right="-46"/>
              <w:rPr>
                <w:rFonts w:cs="Arial"/>
                <w:b/>
                <w:bCs/>
                <w:sz w:val="24"/>
                <w:szCs w:val="24"/>
              </w:rPr>
            </w:pPr>
            <w:r w:rsidRPr="00CC4FDE">
              <w:rPr>
                <w:rFonts w:cs="Arial"/>
                <w:b/>
                <w:bCs/>
                <w:sz w:val="24"/>
                <w:szCs w:val="24"/>
              </w:rPr>
              <w:t xml:space="preserve">Chief Executive </w:t>
            </w:r>
            <w:r w:rsidRPr="00CC4FDE">
              <w:rPr>
                <w:rFonts w:cs="Arial"/>
                <w:b/>
                <w:bCs/>
                <w:sz w:val="24"/>
                <w:szCs w:val="24"/>
              </w:rPr>
              <w:t>Services</w:t>
            </w:r>
          </w:p>
        </w:tc>
        <w:tc>
          <w:tcPr>
            <w:tcW w:w="1276" w:type="dxa"/>
            <w:vAlign w:val="center"/>
          </w:tcPr>
          <w:p w:rsidR="00606EEB" w:rsidRPr="00CC4FDE" w:rsidRDefault="00BC15A2" w:rsidP="00C159D8">
            <w:pPr>
              <w:ind w:right="-46"/>
              <w:jc w:val="center"/>
              <w:rPr>
                <w:rFonts w:cs="Arial"/>
                <w:b/>
                <w:bCs/>
                <w:sz w:val="24"/>
                <w:szCs w:val="24"/>
              </w:rPr>
            </w:pPr>
            <w:r w:rsidRPr="00CC4FDE">
              <w:rPr>
                <w:rFonts w:cs="Arial"/>
                <w:b/>
                <w:bCs/>
                <w:sz w:val="24"/>
                <w:szCs w:val="24"/>
              </w:rPr>
              <w:t>1</w:t>
            </w:r>
            <w:r>
              <w:rPr>
                <w:rFonts w:cs="Arial"/>
                <w:b/>
                <w:bCs/>
                <w:sz w:val="24"/>
                <w:szCs w:val="24"/>
              </w:rPr>
              <w:t>9</w:t>
            </w:r>
          </w:p>
        </w:tc>
      </w:tr>
    </w:tbl>
    <w:p w:rsidR="005844C0" w:rsidRDefault="00BC15A2" w:rsidP="00D12D70">
      <w:pPr>
        <w:spacing w:after="0"/>
        <w:rPr>
          <w:rFonts w:ascii="Arial" w:hAnsi="Arial" w:cs="Arial"/>
          <w:b/>
          <w:sz w:val="24"/>
          <w:szCs w:val="24"/>
          <w:highlight w:val="lightGray"/>
        </w:rPr>
      </w:pPr>
    </w:p>
    <w:p w:rsidR="005844C0" w:rsidRDefault="00BC15A2">
      <w:pPr>
        <w:rPr>
          <w:rFonts w:ascii="Arial" w:hAnsi="Arial" w:cs="Arial"/>
          <w:b/>
          <w:sz w:val="24"/>
          <w:szCs w:val="24"/>
          <w:highlight w:val="lightGray"/>
        </w:rPr>
      </w:pPr>
      <w:r>
        <w:rPr>
          <w:rFonts w:ascii="Arial" w:hAnsi="Arial" w:cs="Arial"/>
          <w:b/>
          <w:sz w:val="24"/>
          <w:szCs w:val="24"/>
          <w:highlight w:val="lightGray"/>
        </w:rPr>
        <w:br w:type="page"/>
      </w:r>
    </w:p>
    <w:p w:rsidR="00D12D70" w:rsidRDefault="00BC15A2" w:rsidP="00D12D70">
      <w:pPr>
        <w:spacing w:after="0"/>
        <w:rPr>
          <w:rFonts w:ascii="Arial" w:hAnsi="Arial" w:cs="Arial"/>
          <w:b/>
          <w:sz w:val="24"/>
          <w:szCs w:val="24"/>
          <w:highlight w:val="lightGray"/>
        </w:rPr>
      </w:pPr>
    </w:p>
    <w:p w:rsidR="00606EEB" w:rsidRPr="00D12D70" w:rsidRDefault="00BC15A2" w:rsidP="00D12D70">
      <w:pPr>
        <w:pStyle w:val="ListParagraph"/>
        <w:numPr>
          <w:ilvl w:val="0"/>
          <w:numId w:val="13"/>
        </w:numPr>
        <w:spacing w:after="0"/>
        <w:rPr>
          <w:rFonts w:ascii="Arial" w:hAnsi="Arial" w:cs="Arial"/>
          <w:b/>
          <w:sz w:val="24"/>
          <w:szCs w:val="24"/>
          <w:u w:val="single"/>
        </w:rPr>
      </w:pPr>
      <w:r w:rsidRPr="00D12D70">
        <w:rPr>
          <w:rFonts w:ascii="Arial" w:hAnsi="Arial" w:cs="Arial"/>
          <w:b/>
          <w:sz w:val="24"/>
          <w:szCs w:val="24"/>
          <w:u w:val="single"/>
        </w:rPr>
        <w:t>Summary Revenue Budget Monitoring Position as at 31</w:t>
      </w:r>
      <w:r w:rsidRPr="00D12D70">
        <w:rPr>
          <w:rFonts w:ascii="Arial" w:hAnsi="Arial" w:cs="Arial"/>
          <w:b/>
          <w:sz w:val="24"/>
          <w:szCs w:val="24"/>
          <w:u w:val="single"/>
          <w:vertAlign w:val="superscript"/>
        </w:rPr>
        <w:t>st</w:t>
      </w:r>
      <w:r w:rsidRPr="00D12D70">
        <w:rPr>
          <w:rFonts w:ascii="Arial" w:hAnsi="Arial" w:cs="Arial"/>
          <w:b/>
          <w:sz w:val="24"/>
          <w:szCs w:val="24"/>
          <w:u w:val="single"/>
        </w:rPr>
        <w:t xml:space="preserve"> December 2019</w:t>
      </w:r>
    </w:p>
    <w:p w:rsidR="000470BE" w:rsidRDefault="00BC15A2" w:rsidP="000470BE">
      <w:pPr>
        <w:rPr>
          <w:highlight w:val="yellow"/>
        </w:rPr>
      </w:pPr>
    </w:p>
    <w:tbl>
      <w:tblPr>
        <w:tblW w:w="5044" w:type="pct"/>
        <w:tblLook w:val="04A0" w:firstRow="1" w:lastRow="0" w:firstColumn="1" w:lastColumn="0" w:noHBand="0" w:noVBand="1"/>
      </w:tblPr>
      <w:tblGrid>
        <w:gridCol w:w="1789"/>
        <w:gridCol w:w="1316"/>
        <w:gridCol w:w="1316"/>
        <w:gridCol w:w="1319"/>
        <w:gridCol w:w="1108"/>
        <w:gridCol w:w="1013"/>
        <w:gridCol w:w="1013"/>
        <w:gridCol w:w="1108"/>
        <w:gridCol w:w="1013"/>
        <w:gridCol w:w="1013"/>
        <w:gridCol w:w="1013"/>
        <w:gridCol w:w="1010"/>
      </w:tblGrid>
      <w:tr w:rsidR="006A7256" w:rsidTr="00B15B9C">
        <w:trPr>
          <w:trHeight w:val="1273"/>
        </w:trPr>
        <w:tc>
          <w:tcPr>
            <w:tcW w:w="6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Service Area</w:t>
            </w:r>
          </w:p>
        </w:tc>
        <w:tc>
          <w:tcPr>
            <w:tcW w:w="469"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Approved Expenditure Budget </w:t>
            </w:r>
          </w:p>
        </w:tc>
        <w:tc>
          <w:tcPr>
            <w:tcW w:w="469"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Current Period Expenditure Forecast Outturn </w:t>
            </w:r>
          </w:p>
        </w:tc>
        <w:tc>
          <w:tcPr>
            <w:tcW w:w="470"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Current Period Expenditure Forecast Variance</w:t>
            </w:r>
          </w:p>
        </w:tc>
        <w:tc>
          <w:tcPr>
            <w:tcW w:w="395"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Approved Income Budget </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Current Period Income Forecast Outturn </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Current Period Income Forecast Variance</w:t>
            </w:r>
          </w:p>
        </w:tc>
        <w:tc>
          <w:tcPr>
            <w:tcW w:w="395"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Approved Net Budget </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Current Period Net Forecast Outturn </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Current Period Net Forecast Variance</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xml:space="preserve"> Current Period Net Forecast Variance</w:t>
            </w:r>
          </w:p>
        </w:tc>
        <w:tc>
          <w:tcPr>
            <w:tcW w:w="360"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Q2 Variance</w:t>
            </w:r>
          </w:p>
        </w:tc>
      </w:tr>
      <w:tr w:rsidR="006A7256" w:rsidTr="00B15B9C">
        <w:trPr>
          <w:trHeight w:val="298"/>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 </w:t>
            </w:r>
          </w:p>
        </w:tc>
        <w:tc>
          <w:tcPr>
            <w:tcW w:w="469"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469"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470"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95"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95"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w:t>
            </w:r>
          </w:p>
        </w:tc>
        <w:tc>
          <w:tcPr>
            <w:tcW w:w="360"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center"/>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£m</w:t>
            </w:r>
          </w:p>
        </w:tc>
      </w:tr>
      <w:tr w:rsidR="006A7256" w:rsidTr="00B15B9C">
        <w:trPr>
          <w:trHeight w:val="298"/>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ADULTS</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555.638</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576.369</w:t>
            </w:r>
          </w:p>
        </w:tc>
        <w:tc>
          <w:tcPr>
            <w:tcW w:w="470"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20.731</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-214.933</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-225.308</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-10.375</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340.705</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351.061</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10.356</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3.04%</w:t>
            </w:r>
          </w:p>
        </w:tc>
        <w:tc>
          <w:tcPr>
            <w:tcW w:w="360"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12.137</w:t>
            </w:r>
          </w:p>
        </w:tc>
      </w:tr>
      <w:tr w:rsidR="006A7256" w:rsidTr="00B15B9C">
        <w:trPr>
          <w:trHeight w:val="763"/>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ADULT SERVICES AND PUBLIC HEALTH &amp; WELLBEING</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8.173</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8.283</w:t>
            </w:r>
          </w:p>
        </w:tc>
        <w:tc>
          <w:tcPr>
            <w:tcW w:w="470"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0.110</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-0.757</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-0.956</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-0.199</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7.416</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7.327</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-0.089</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-1.20%</w:t>
            </w:r>
          </w:p>
        </w:tc>
        <w:tc>
          <w:tcPr>
            <w:tcW w:w="360"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-0.123</w:t>
            </w:r>
          </w:p>
        </w:tc>
      </w:tr>
      <w:tr w:rsidR="006A7256" w:rsidTr="00B15B9C">
        <w:trPr>
          <w:trHeight w:val="524"/>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sz w:val="19"/>
                <w:szCs w:val="19"/>
                <w:lang w:eastAsia="en-GB"/>
              </w:rPr>
            </w:pPr>
            <w:r w:rsidRPr="000470BE">
              <w:rPr>
                <w:rFonts w:ascii="Arial" w:eastAsia="Times New Roman" w:hAnsi="Arial" w:cs="Arial"/>
                <w:b/>
                <w:bCs/>
                <w:sz w:val="19"/>
                <w:szCs w:val="19"/>
                <w:lang w:eastAsia="en-GB"/>
              </w:rPr>
              <w:t>PUBLIC HEALTH &amp; WELLBEING</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71.294</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71.853</w:t>
            </w:r>
          </w:p>
        </w:tc>
        <w:tc>
          <w:tcPr>
            <w:tcW w:w="470"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0.559</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-71.779</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-72.416</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-0.637</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-0.485</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-0.563</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-0.078</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-16.08%</w:t>
            </w:r>
          </w:p>
        </w:tc>
        <w:tc>
          <w:tcPr>
            <w:tcW w:w="360"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sz w:val="19"/>
                <w:szCs w:val="19"/>
                <w:lang w:eastAsia="en-GB"/>
              </w:rPr>
            </w:pPr>
            <w:r w:rsidRPr="000470BE">
              <w:rPr>
                <w:rFonts w:ascii="Arial" w:eastAsia="Times New Roman" w:hAnsi="Arial" w:cs="Arial"/>
                <w:sz w:val="19"/>
                <w:szCs w:val="19"/>
                <w:lang w:eastAsia="en-GB"/>
              </w:rPr>
              <w:t>0.201</w:t>
            </w:r>
          </w:p>
        </w:tc>
      </w:tr>
      <w:tr w:rsidR="006A7256" w:rsidTr="00B15B9C">
        <w:trPr>
          <w:trHeight w:val="778"/>
        </w:trPr>
        <w:tc>
          <w:tcPr>
            <w:tcW w:w="6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EDUCATION AND CHILDREN'S SERVICES</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237.218</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244.305</w:t>
            </w:r>
          </w:p>
        </w:tc>
        <w:tc>
          <w:tcPr>
            <w:tcW w:w="470"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7.087</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-46.683</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-50.286</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-3.603</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190.535</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194.019</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3.484</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1.83%</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3.535</w:t>
            </w:r>
          </w:p>
        </w:tc>
      </w:tr>
      <w:tr w:rsidR="006A7256" w:rsidTr="00B15B9C">
        <w:trPr>
          <w:trHeight w:val="763"/>
        </w:trPr>
        <w:tc>
          <w:tcPr>
            <w:tcW w:w="6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GROWTH, ENVIRONMENT &amp; PLANNING</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15.310</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13.873</w:t>
            </w:r>
          </w:p>
        </w:tc>
        <w:tc>
          <w:tcPr>
            <w:tcW w:w="470"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-1.437</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-11.049</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-9.646</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1.403</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4.261</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4.227</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-0.034</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-0.80%</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0.315</w:t>
            </w:r>
          </w:p>
        </w:tc>
      </w:tr>
      <w:tr w:rsidR="006A7256" w:rsidTr="00B15B9C">
        <w:trPr>
          <w:trHeight w:val="524"/>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HIGHWAYS AND TRANSPORT</w:t>
            </w:r>
          </w:p>
        </w:tc>
        <w:tc>
          <w:tcPr>
            <w:tcW w:w="469"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232.721</w:t>
            </w:r>
          </w:p>
        </w:tc>
        <w:tc>
          <w:tcPr>
            <w:tcW w:w="469"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227.643</w:t>
            </w:r>
          </w:p>
        </w:tc>
        <w:tc>
          <w:tcPr>
            <w:tcW w:w="470" w:type="pct"/>
            <w:tcBorders>
              <w:top w:val="nil"/>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-5.078</w:t>
            </w:r>
          </w:p>
        </w:tc>
        <w:tc>
          <w:tcPr>
            <w:tcW w:w="395"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-106.696</w:t>
            </w:r>
          </w:p>
        </w:tc>
        <w:tc>
          <w:tcPr>
            <w:tcW w:w="361"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-100.400</w:t>
            </w:r>
          </w:p>
        </w:tc>
        <w:tc>
          <w:tcPr>
            <w:tcW w:w="361" w:type="pct"/>
            <w:tcBorders>
              <w:top w:val="nil"/>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6.296</w:t>
            </w:r>
          </w:p>
        </w:tc>
        <w:tc>
          <w:tcPr>
            <w:tcW w:w="395"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126.025</w:t>
            </w:r>
          </w:p>
        </w:tc>
        <w:tc>
          <w:tcPr>
            <w:tcW w:w="361"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127.243</w:t>
            </w:r>
          </w:p>
        </w:tc>
        <w:tc>
          <w:tcPr>
            <w:tcW w:w="361" w:type="pct"/>
            <w:tcBorders>
              <w:top w:val="nil"/>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1.218</w:t>
            </w:r>
          </w:p>
        </w:tc>
        <w:tc>
          <w:tcPr>
            <w:tcW w:w="361"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0.97%</w:t>
            </w:r>
          </w:p>
        </w:tc>
        <w:tc>
          <w:tcPr>
            <w:tcW w:w="360" w:type="pct"/>
            <w:tcBorders>
              <w:top w:val="nil"/>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0.433</w:t>
            </w:r>
          </w:p>
        </w:tc>
      </w:tr>
      <w:tr w:rsidR="006A7256" w:rsidTr="00B15B9C">
        <w:trPr>
          <w:trHeight w:val="298"/>
        </w:trPr>
        <w:tc>
          <w:tcPr>
            <w:tcW w:w="637" w:type="pct"/>
            <w:tcBorders>
              <w:top w:val="single" w:sz="8" w:space="0" w:color="auto"/>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FINANCE</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61.842</w:t>
            </w:r>
          </w:p>
        </w:tc>
        <w:tc>
          <w:tcPr>
            <w:tcW w:w="469"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61.326</w:t>
            </w:r>
          </w:p>
        </w:tc>
        <w:tc>
          <w:tcPr>
            <w:tcW w:w="470"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-0.516</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-22.765</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-22.799</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-0.034</w:t>
            </w:r>
          </w:p>
        </w:tc>
        <w:tc>
          <w:tcPr>
            <w:tcW w:w="395"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39.077</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38.527</w:t>
            </w:r>
          </w:p>
        </w:tc>
        <w:tc>
          <w:tcPr>
            <w:tcW w:w="361" w:type="pct"/>
            <w:tcBorders>
              <w:top w:val="single" w:sz="8" w:space="0" w:color="auto"/>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-0.550</w:t>
            </w:r>
          </w:p>
        </w:tc>
        <w:tc>
          <w:tcPr>
            <w:tcW w:w="361"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-1.41%</w:t>
            </w:r>
          </w:p>
        </w:tc>
        <w:tc>
          <w:tcPr>
            <w:tcW w:w="360" w:type="pct"/>
            <w:tcBorders>
              <w:top w:val="single" w:sz="8" w:space="0" w:color="auto"/>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-0.108</w:t>
            </w:r>
          </w:p>
        </w:tc>
      </w:tr>
      <w:tr w:rsidR="006A7256" w:rsidTr="00B15B9C">
        <w:trPr>
          <w:trHeight w:val="298"/>
        </w:trPr>
        <w:tc>
          <w:tcPr>
            <w:tcW w:w="637" w:type="pct"/>
            <w:tcBorders>
              <w:top w:val="nil"/>
              <w:left w:val="single" w:sz="8" w:space="0" w:color="auto"/>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CORPORATE</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33.719</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34.717</w:t>
            </w:r>
          </w:p>
        </w:tc>
        <w:tc>
          <w:tcPr>
            <w:tcW w:w="470" w:type="pct"/>
            <w:tcBorders>
              <w:top w:val="nil"/>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0.998</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-14.691</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-15.678</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-0.987</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19.028</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19.039</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0.011</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0.06%</w:t>
            </w:r>
          </w:p>
        </w:tc>
        <w:tc>
          <w:tcPr>
            <w:tcW w:w="360"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-0.076</w:t>
            </w:r>
          </w:p>
        </w:tc>
      </w:tr>
      <w:tr w:rsidR="006A7256" w:rsidTr="00B15B9C">
        <w:trPr>
          <w:trHeight w:val="524"/>
        </w:trPr>
        <w:tc>
          <w:tcPr>
            <w:tcW w:w="637" w:type="pct"/>
            <w:tcBorders>
              <w:top w:val="nil"/>
              <w:left w:val="single" w:sz="8" w:space="0" w:color="auto"/>
              <w:bottom w:val="nil"/>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STRATEGY AND PERFORMANCE</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106.200</w:t>
            </w:r>
          </w:p>
        </w:tc>
        <w:tc>
          <w:tcPr>
            <w:tcW w:w="469"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106.843</w:t>
            </w:r>
          </w:p>
        </w:tc>
        <w:tc>
          <w:tcPr>
            <w:tcW w:w="470" w:type="pct"/>
            <w:tcBorders>
              <w:top w:val="single" w:sz="4" w:space="0" w:color="auto"/>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0.643</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-75.104</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-74.780</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0.324</w:t>
            </w:r>
          </w:p>
        </w:tc>
        <w:tc>
          <w:tcPr>
            <w:tcW w:w="395"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31.096</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32.063</w:t>
            </w:r>
          </w:p>
        </w:tc>
        <w:tc>
          <w:tcPr>
            <w:tcW w:w="361" w:type="pct"/>
            <w:tcBorders>
              <w:top w:val="nil"/>
              <w:left w:val="nil"/>
              <w:bottom w:val="single" w:sz="4"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0.967</w:t>
            </w:r>
          </w:p>
        </w:tc>
        <w:tc>
          <w:tcPr>
            <w:tcW w:w="361"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3.11%</w:t>
            </w:r>
          </w:p>
        </w:tc>
        <w:tc>
          <w:tcPr>
            <w:tcW w:w="360" w:type="pct"/>
            <w:tcBorders>
              <w:top w:val="nil"/>
              <w:left w:val="nil"/>
              <w:bottom w:val="single" w:sz="4" w:space="0" w:color="auto"/>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0.526</w:t>
            </w:r>
          </w:p>
        </w:tc>
      </w:tr>
      <w:tr w:rsidR="006A7256" w:rsidTr="00B15B9C">
        <w:trPr>
          <w:trHeight w:val="508"/>
        </w:trPr>
        <w:tc>
          <w:tcPr>
            <w:tcW w:w="637" w:type="pct"/>
            <w:tcBorders>
              <w:top w:val="single" w:sz="8" w:space="0" w:color="auto"/>
              <w:left w:val="single" w:sz="8" w:space="0" w:color="auto"/>
              <w:bottom w:val="nil"/>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CHIEF EXECUTIVE SERVICES</w:t>
            </w:r>
          </w:p>
        </w:tc>
        <w:tc>
          <w:tcPr>
            <w:tcW w:w="469"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68.599</w:t>
            </w:r>
          </w:p>
        </w:tc>
        <w:tc>
          <w:tcPr>
            <w:tcW w:w="469"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64.405</w:t>
            </w:r>
          </w:p>
        </w:tc>
        <w:tc>
          <w:tcPr>
            <w:tcW w:w="470" w:type="pct"/>
            <w:tcBorders>
              <w:top w:val="single" w:sz="8" w:space="0" w:color="auto"/>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-4.194</w:t>
            </w:r>
          </w:p>
        </w:tc>
        <w:tc>
          <w:tcPr>
            <w:tcW w:w="395"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-23.982</w:t>
            </w:r>
          </w:p>
        </w:tc>
        <w:tc>
          <w:tcPr>
            <w:tcW w:w="361"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-48.581</w:t>
            </w:r>
          </w:p>
        </w:tc>
        <w:tc>
          <w:tcPr>
            <w:tcW w:w="361" w:type="pct"/>
            <w:tcBorders>
              <w:top w:val="single" w:sz="8" w:space="0" w:color="auto"/>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-24.599</w:t>
            </w:r>
          </w:p>
        </w:tc>
        <w:tc>
          <w:tcPr>
            <w:tcW w:w="395"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44.617</w:t>
            </w:r>
          </w:p>
        </w:tc>
        <w:tc>
          <w:tcPr>
            <w:tcW w:w="361"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15.824</w:t>
            </w:r>
          </w:p>
        </w:tc>
        <w:tc>
          <w:tcPr>
            <w:tcW w:w="361" w:type="pct"/>
            <w:tcBorders>
              <w:top w:val="single" w:sz="8" w:space="0" w:color="auto"/>
              <w:left w:val="nil"/>
              <w:bottom w:val="nil"/>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-28.793</w:t>
            </w:r>
          </w:p>
        </w:tc>
        <w:tc>
          <w:tcPr>
            <w:tcW w:w="361"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-64.53%</w:t>
            </w:r>
          </w:p>
        </w:tc>
        <w:tc>
          <w:tcPr>
            <w:tcW w:w="360" w:type="pct"/>
            <w:tcBorders>
              <w:top w:val="single" w:sz="8" w:space="0" w:color="auto"/>
              <w:left w:val="nil"/>
              <w:bottom w:val="nil"/>
              <w:right w:val="single" w:sz="4" w:space="0" w:color="auto"/>
            </w:tcBorders>
            <w:shd w:val="clear" w:color="auto" w:fill="auto"/>
            <w:vAlign w:val="center"/>
            <w:hideMark/>
          </w:tcPr>
          <w:p w:rsidR="000470BE" w:rsidRPr="000470BE" w:rsidRDefault="00BC15A2" w:rsidP="000470BE">
            <w:pPr>
              <w:spacing w:after="0" w:line="240" w:lineRule="auto"/>
              <w:jc w:val="right"/>
              <w:rPr>
                <w:rFonts w:ascii="Arial" w:eastAsia="Times New Roman" w:hAnsi="Arial" w:cs="Arial"/>
                <w:color w:val="000000"/>
                <w:sz w:val="19"/>
                <w:szCs w:val="19"/>
                <w:lang w:eastAsia="en-GB"/>
              </w:rPr>
            </w:pPr>
            <w:r w:rsidRPr="000470BE">
              <w:rPr>
                <w:rFonts w:ascii="Arial" w:eastAsia="Times New Roman" w:hAnsi="Arial" w:cs="Arial"/>
                <w:color w:val="000000"/>
                <w:sz w:val="19"/>
                <w:szCs w:val="19"/>
                <w:lang w:eastAsia="en-GB"/>
              </w:rPr>
              <w:t>-28.975</w:t>
            </w:r>
          </w:p>
        </w:tc>
      </w:tr>
      <w:tr w:rsidR="006A7256" w:rsidTr="00B15B9C">
        <w:trPr>
          <w:trHeight w:val="313"/>
        </w:trPr>
        <w:tc>
          <w:tcPr>
            <w:tcW w:w="637" w:type="pct"/>
            <w:tcBorders>
              <w:top w:val="single" w:sz="4" w:space="0" w:color="auto"/>
              <w:left w:val="single" w:sz="8" w:space="0" w:color="auto"/>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TOTAL</w:t>
            </w:r>
          </w:p>
        </w:tc>
        <w:tc>
          <w:tcPr>
            <w:tcW w:w="469"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1,390.714</w:t>
            </w:r>
          </w:p>
        </w:tc>
        <w:tc>
          <w:tcPr>
            <w:tcW w:w="469"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1,409.617</w:t>
            </w:r>
          </w:p>
        </w:tc>
        <w:tc>
          <w:tcPr>
            <w:tcW w:w="470"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18.903</w:t>
            </w:r>
          </w:p>
        </w:tc>
        <w:tc>
          <w:tcPr>
            <w:tcW w:w="395"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-588.439</w:t>
            </w:r>
          </w:p>
        </w:tc>
        <w:tc>
          <w:tcPr>
            <w:tcW w:w="361"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-620.850</w:t>
            </w:r>
          </w:p>
        </w:tc>
        <w:tc>
          <w:tcPr>
            <w:tcW w:w="361"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-32.411</w:t>
            </w:r>
          </w:p>
        </w:tc>
        <w:tc>
          <w:tcPr>
            <w:tcW w:w="395"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802.275</w:t>
            </w:r>
          </w:p>
        </w:tc>
        <w:tc>
          <w:tcPr>
            <w:tcW w:w="361"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788.767</w:t>
            </w:r>
          </w:p>
        </w:tc>
        <w:tc>
          <w:tcPr>
            <w:tcW w:w="361"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-13.508</w:t>
            </w:r>
          </w:p>
        </w:tc>
        <w:tc>
          <w:tcPr>
            <w:tcW w:w="361"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-1.68%</w:t>
            </w:r>
          </w:p>
        </w:tc>
        <w:tc>
          <w:tcPr>
            <w:tcW w:w="360" w:type="pct"/>
            <w:tcBorders>
              <w:top w:val="single" w:sz="4" w:space="0" w:color="auto"/>
              <w:left w:val="nil"/>
              <w:bottom w:val="single" w:sz="8" w:space="0" w:color="auto"/>
              <w:right w:val="single" w:sz="4" w:space="0" w:color="auto"/>
            </w:tcBorders>
            <w:shd w:val="clear" w:color="000000" w:fill="D9D9D9"/>
            <w:vAlign w:val="center"/>
            <w:hideMark/>
          </w:tcPr>
          <w:p w:rsidR="000470BE" w:rsidRPr="000470BE" w:rsidRDefault="00BC15A2" w:rsidP="000470BE">
            <w:pPr>
              <w:spacing w:after="0" w:line="240" w:lineRule="auto"/>
              <w:jc w:val="right"/>
              <w:rPr>
                <w:rFonts w:ascii="Arial" w:eastAsia="Times New Roman" w:hAnsi="Arial" w:cs="Arial"/>
                <w:b/>
                <w:bCs/>
                <w:color w:val="000000"/>
                <w:sz w:val="19"/>
                <w:szCs w:val="19"/>
                <w:lang w:eastAsia="en-GB"/>
              </w:rPr>
            </w:pPr>
            <w:r w:rsidRPr="000470BE">
              <w:rPr>
                <w:rFonts w:ascii="Arial" w:eastAsia="Times New Roman" w:hAnsi="Arial" w:cs="Arial"/>
                <w:b/>
                <w:bCs/>
                <w:color w:val="000000"/>
                <w:sz w:val="19"/>
                <w:szCs w:val="19"/>
                <w:lang w:eastAsia="en-GB"/>
              </w:rPr>
              <w:t>-12.135</w:t>
            </w:r>
          </w:p>
        </w:tc>
      </w:tr>
    </w:tbl>
    <w:p w:rsidR="00D12D70" w:rsidRDefault="00BC15A2" w:rsidP="00D12D70">
      <w:pPr>
        <w:spacing w:after="0"/>
        <w:ind w:left="-284"/>
        <w:rPr>
          <w:rFonts w:ascii="Arial" w:hAnsi="Arial" w:cs="Arial"/>
          <w:b/>
          <w:sz w:val="24"/>
          <w:szCs w:val="24"/>
          <w:highlight w:val="yellow"/>
          <w:u w:val="single"/>
        </w:rPr>
      </w:pPr>
    </w:p>
    <w:p w:rsidR="00D12D70" w:rsidRDefault="00BC15A2">
      <w:pPr>
        <w:rPr>
          <w:rFonts w:ascii="Arial" w:hAnsi="Arial" w:cs="Arial"/>
          <w:b/>
          <w:sz w:val="24"/>
          <w:szCs w:val="24"/>
          <w:highlight w:val="yellow"/>
          <w:u w:val="single"/>
        </w:rPr>
      </w:pPr>
    </w:p>
    <w:p w:rsidR="00D12D70" w:rsidRDefault="00BC15A2" w:rsidP="00D12D70">
      <w:pPr>
        <w:spacing w:after="0"/>
        <w:ind w:left="-284"/>
        <w:rPr>
          <w:rFonts w:ascii="Arial" w:hAnsi="Arial" w:cs="Arial"/>
          <w:b/>
          <w:sz w:val="24"/>
          <w:szCs w:val="24"/>
          <w:highlight w:val="yellow"/>
          <w:u w:val="single"/>
        </w:rPr>
      </w:pPr>
    </w:p>
    <w:p w:rsidR="00606EEB" w:rsidRPr="00D12D70" w:rsidRDefault="00BC15A2" w:rsidP="00D12D70">
      <w:pPr>
        <w:pStyle w:val="ListParagraph"/>
        <w:numPr>
          <w:ilvl w:val="0"/>
          <w:numId w:val="13"/>
        </w:numPr>
        <w:spacing w:after="0"/>
        <w:rPr>
          <w:rFonts w:ascii="Arial" w:hAnsi="Arial" w:cs="Arial"/>
          <w:b/>
          <w:sz w:val="24"/>
          <w:szCs w:val="24"/>
          <w:u w:val="single"/>
        </w:rPr>
      </w:pPr>
      <w:r w:rsidRPr="00D12D70">
        <w:rPr>
          <w:rFonts w:ascii="Arial" w:hAnsi="Arial" w:cs="Arial"/>
          <w:b/>
          <w:sz w:val="24"/>
          <w:szCs w:val="24"/>
          <w:u w:val="single"/>
        </w:rPr>
        <w:t xml:space="preserve">Executive Summary </w:t>
      </w:r>
    </w:p>
    <w:p w:rsidR="00606EEB" w:rsidRPr="00606EEB" w:rsidRDefault="00BC15A2" w:rsidP="00606EEB">
      <w:pPr>
        <w:spacing w:after="0"/>
        <w:rPr>
          <w:rFonts w:ascii="Arial" w:hAnsi="Arial" w:cs="Arial"/>
          <w:b/>
          <w:sz w:val="24"/>
          <w:szCs w:val="24"/>
          <w:highlight w:val="yellow"/>
          <w:u w:val="single"/>
        </w:rPr>
      </w:pPr>
    </w:p>
    <w:p w:rsidR="00606EEB" w:rsidRDefault="00BC15A2" w:rsidP="00606EEB">
      <w:pPr>
        <w:spacing w:after="0"/>
        <w:jc w:val="both"/>
        <w:rPr>
          <w:rFonts w:ascii="Arial" w:hAnsi="Arial" w:cs="Arial"/>
          <w:sz w:val="24"/>
          <w:szCs w:val="24"/>
        </w:rPr>
      </w:pPr>
      <w:r w:rsidRPr="008A6E21">
        <w:rPr>
          <w:rFonts w:ascii="Arial" w:eastAsia="Times New Roman" w:hAnsi="Arial" w:cs="Arial"/>
          <w:sz w:val="24"/>
          <w:szCs w:val="24"/>
          <w:lang w:eastAsia="en-GB"/>
        </w:rPr>
        <w:t>This report provides an update to Cabinet on the county council's 2019/20 revenue financial position as at the end of</w:t>
      </w:r>
      <w:r w:rsidRPr="008A6E21">
        <w:rPr>
          <w:rFonts w:ascii="Arial" w:eastAsia="Times New Roman" w:hAnsi="Arial" w:cs="Arial"/>
          <w:sz w:val="24"/>
          <w:szCs w:val="24"/>
          <w:lang w:eastAsia="en-GB"/>
        </w:rPr>
        <w:t xml:space="preserve"> December 2</w:t>
      </w:r>
      <w:r w:rsidRPr="001649EF">
        <w:rPr>
          <w:rFonts w:ascii="Arial" w:eastAsia="Times New Roman" w:hAnsi="Arial" w:cs="Arial"/>
          <w:sz w:val="24"/>
          <w:szCs w:val="24"/>
          <w:lang w:eastAsia="en-GB"/>
        </w:rPr>
        <w:t xml:space="preserve">019. </w:t>
      </w:r>
      <w:r w:rsidRPr="001649EF">
        <w:rPr>
          <w:rFonts w:ascii="Arial" w:hAnsi="Arial" w:cs="Arial"/>
          <w:sz w:val="24"/>
          <w:szCs w:val="24"/>
        </w:rPr>
        <w:t xml:space="preserve">The forecast outturn for 2019/20 is outlined in the table above, with a £13.508m underspend forecast, which by way of context is 1.68% of the county council's net budget. </w:t>
      </w:r>
    </w:p>
    <w:p w:rsidR="00355DE1" w:rsidRPr="00606EEB" w:rsidRDefault="00BC15A2" w:rsidP="00606EEB">
      <w:pPr>
        <w:spacing w:after="0"/>
        <w:jc w:val="both"/>
        <w:rPr>
          <w:rFonts w:ascii="Arial" w:hAnsi="Arial" w:cs="Arial"/>
          <w:sz w:val="24"/>
          <w:szCs w:val="24"/>
          <w:highlight w:val="yellow"/>
        </w:rPr>
      </w:pPr>
    </w:p>
    <w:p w:rsidR="008B0304" w:rsidRDefault="00BC15A2" w:rsidP="008B0304">
      <w:pPr>
        <w:spacing w:after="0"/>
        <w:jc w:val="both"/>
        <w:rPr>
          <w:rFonts w:ascii="Arial" w:hAnsi="Arial" w:cs="Arial"/>
          <w:sz w:val="24"/>
          <w:szCs w:val="24"/>
        </w:rPr>
      </w:pPr>
      <w:r>
        <w:rPr>
          <w:rFonts w:ascii="Arial" w:hAnsi="Arial" w:cs="Arial"/>
          <w:sz w:val="24"/>
          <w:szCs w:val="24"/>
        </w:rPr>
        <w:t>We are in discussions with health colleagues</w:t>
      </w:r>
      <w:r w:rsidRPr="008B0304">
        <w:rPr>
          <w:rFonts w:ascii="Arial" w:hAnsi="Arial" w:cs="Arial"/>
          <w:sz w:val="24"/>
          <w:szCs w:val="24"/>
        </w:rPr>
        <w:t xml:space="preserve"> to </w:t>
      </w:r>
      <w:r>
        <w:rPr>
          <w:rFonts w:ascii="Arial" w:hAnsi="Arial" w:cs="Arial"/>
          <w:sz w:val="24"/>
          <w:szCs w:val="24"/>
        </w:rPr>
        <w:t xml:space="preserve">collaborate via a risk sharing agreement with the aim of delivering up to £16.000m in financial year 2021/22 for investment in the wider health and social care system. We will be involved in the decisions on where this additional funding will be deployed. </w:t>
      </w:r>
      <w:r>
        <w:rPr>
          <w:rFonts w:ascii="Arial" w:hAnsi="Arial" w:cs="Arial"/>
          <w:sz w:val="24"/>
          <w:szCs w:val="24"/>
        </w:rPr>
        <w:t>To do this we would contribute</w:t>
      </w:r>
      <w:r w:rsidRPr="008B0304">
        <w:rPr>
          <w:rFonts w:ascii="Arial" w:hAnsi="Arial" w:cs="Arial"/>
          <w:sz w:val="24"/>
          <w:szCs w:val="24"/>
        </w:rPr>
        <w:t xml:space="preserve"> </w:t>
      </w:r>
      <w:r>
        <w:rPr>
          <w:rFonts w:ascii="Arial" w:hAnsi="Arial" w:cs="Arial"/>
          <w:sz w:val="24"/>
          <w:szCs w:val="24"/>
        </w:rPr>
        <w:t>for a short period spanning financial years 2019/20 and 2020/21 an additional sum of £16.000m in to pooled health and social care funds which would be deployed on services provided within the Better Care Fund arrangements</w:t>
      </w:r>
      <w:r w:rsidRPr="008B0304">
        <w:rPr>
          <w:rFonts w:ascii="Arial" w:hAnsi="Arial" w:cs="Arial"/>
          <w:sz w:val="24"/>
          <w:szCs w:val="24"/>
        </w:rPr>
        <w:t>. Th</w:t>
      </w:r>
      <w:r w:rsidRPr="008B0304">
        <w:rPr>
          <w:rFonts w:ascii="Arial" w:hAnsi="Arial" w:cs="Arial"/>
          <w:sz w:val="24"/>
          <w:szCs w:val="24"/>
        </w:rPr>
        <w:t xml:space="preserve">is share </w:t>
      </w:r>
      <w:r>
        <w:rPr>
          <w:rFonts w:ascii="Arial" w:hAnsi="Arial" w:cs="Arial"/>
          <w:sz w:val="24"/>
          <w:szCs w:val="24"/>
        </w:rPr>
        <w:t xml:space="preserve">of </w:t>
      </w:r>
      <w:r w:rsidRPr="008B0304">
        <w:rPr>
          <w:rFonts w:ascii="Arial" w:hAnsi="Arial" w:cs="Arial"/>
          <w:sz w:val="24"/>
          <w:szCs w:val="24"/>
        </w:rPr>
        <w:t xml:space="preserve">£16.000m will be repaid in June of 2020 and the authority will receive all of its </w:t>
      </w:r>
      <w:r>
        <w:rPr>
          <w:rFonts w:ascii="Arial" w:hAnsi="Arial" w:cs="Arial"/>
          <w:sz w:val="24"/>
          <w:szCs w:val="24"/>
        </w:rPr>
        <w:t xml:space="preserve">additional contribution </w:t>
      </w:r>
      <w:r w:rsidRPr="008B0304">
        <w:rPr>
          <w:rFonts w:ascii="Arial" w:hAnsi="Arial" w:cs="Arial"/>
          <w:sz w:val="24"/>
          <w:szCs w:val="24"/>
        </w:rPr>
        <w:t xml:space="preserve">back and a premium for the cost of capital to provide this support. In doing this the council will be assisting the </w:t>
      </w:r>
      <w:r>
        <w:rPr>
          <w:rFonts w:ascii="Arial" w:hAnsi="Arial" w:cs="Arial"/>
          <w:sz w:val="24"/>
          <w:szCs w:val="24"/>
        </w:rPr>
        <w:t>health and social care</w:t>
      </w:r>
      <w:r>
        <w:rPr>
          <w:rFonts w:ascii="Arial" w:hAnsi="Arial" w:cs="Arial"/>
          <w:sz w:val="24"/>
          <w:szCs w:val="24"/>
        </w:rPr>
        <w:t xml:space="preserve"> </w:t>
      </w:r>
      <w:r w:rsidRPr="008B0304">
        <w:rPr>
          <w:rFonts w:ascii="Arial" w:hAnsi="Arial" w:cs="Arial"/>
          <w:sz w:val="24"/>
          <w:szCs w:val="24"/>
        </w:rPr>
        <w:t>system to liberate historic surpluses which are currently held centrally in health and thus help to inject funds into the</w:t>
      </w:r>
      <w:r>
        <w:rPr>
          <w:rFonts w:ascii="Arial" w:hAnsi="Arial" w:cs="Arial"/>
          <w:sz w:val="24"/>
          <w:szCs w:val="24"/>
        </w:rPr>
        <w:t xml:space="preserve"> Lancashire</w:t>
      </w:r>
      <w:r w:rsidRPr="008B0304">
        <w:rPr>
          <w:rFonts w:ascii="Arial" w:hAnsi="Arial" w:cs="Arial"/>
          <w:sz w:val="24"/>
          <w:szCs w:val="24"/>
        </w:rPr>
        <w:t xml:space="preserve"> health and social care system for t</w:t>
      </w:r>
      <w:r>
        <w:rPr>
          <w:rFonts w:ascii="Arial" w:hAnsi="Arial" w:cs="Arial"/>
          <w:sz w:val="24"/>
          <w:szCs w:val="24"/>
        </w:rPr>
        <w:t>he 2021/22</w:t>
      </w:r>
      <w:r w:rsidRPr="008B0304">
        <w:rPr>
          <w:rFonts w:ascii="Arial" w:hAnsi="Arial" w:cs="Arial"/>
          <w:sz w:val="24"/>
          <w:szCs w:val="24"/>
        </w:rPr>
        <w:t xml:space="preserve"> financial year.</w:t>
      </w:r>
    </w:p>
    <w:p w:rsidR="00880049" w:rsidRDefault="00BC15A2" w:rsidP="008B0304">
      <w:pPr>
        <w:spacing w:after="0"/>
        <w:jc w:val="both"/>
        <w:rPr>
          <w:rFonts w:ascii="Arial" w:hAnsi="Arial" w:cs="Arial"/>
          <w:sz w:val="24"/>
          <w:szCs w:val="24"/>
        </w:rPr>
      </w:pPr>
    </w:p>
    <w:p w:rsidR="00880049" w:rsidRPr="008B0304" w:rsidRDefault="00BC15A2" w:rsidP="008B0304">
      <w:pPr>
        <w:spacing w:after="0"/>
        <w:jc w:val="both"/>
        <w:rPr>
          <w:rFonts w:ascii="Arial" w:hAnsi="Arial" w:cs="Arial"/>
          <w:sz w:val="24"/>
          <w:szCs w:val="24"/>
        </w:rPr>
      </w:pPr>
      <w:r>
        <w:rPr>
          <w:rFonts w:ascii="Arial" w:hAnsi="Arial" w:cs="Arial"/>
          <w:sz w:val="24"/>
          <w:szCs w:val="24"/>
        </w:rPr>
        <w:t>The impact of this potential arrangement on the current fin</w:t>
      </w:r>
      <w:r>
        <w:rPr>
          <w:rFonts w:ascii="Arial" w:hAnsi="Arial" w:cs="Arial"/>
          <w:sz w:val="24"/>
          <w:szCs w:val="24"/>
        </w:rPr>
        <w:t xml:space="preserve">ancial year would be to include up to an extra £16.000m of revenue spend which would impact on our final outturn position. Any agreed additional revenue spend in the current financial year would be reversed to the benefit of 2020/21. </w:t>
      </w:r>
    </w:p>
    <w:p w:rsidR="00606EEB" w:rsidRPr="001649EF" w:rsidRDefault="00BC15A2" w:rsidP="00606EEB">
      <w:pPr>
        <w:spacing w:after="0"/>
        <w:jc w:val="both"/>
        <w:rPr>
          <w:rFonts w:ascii="Arial" w:hAnsi="Arial" w:cs="Arial"/>
          <w:sz w:val="24"/>
          <w:szCs w:val="24"/>
        </w:rPr>
      </w:pPr>
    </w:p>
    <w:p w:rsidR="00606EEB" w:rsidRPr="001649EF" w:rsidRDefault="00BC15A2" w:rsidP="00606EEB">
      <w:pPr>
        <w:tabs>
          <w:tab w:val="left" w:pos="851"/>
          <w:tab w:val="left" w:pos="1418"/>
        </w:tabs>
        <w:spacing w:after="0"/>
        <w:jc w:val="both"/>
        <w:rPr>
          <w:rFonts w:ascii="Arial" w:eastAsia="Times New Roman" w:hAnsi="Arial" w:cs="Arial"/>
          <w:sz w:val="24"/>
          <w:szCs w:val="24"/>
          <w:lang w:eastAsia="en-GB"/>
        </w:rPr>
      </w:pPr>
      <w:r w:rsidRPr="001649EF">
        <w:rPr>
          <w:rFonts w:ascii="Arial" w:eastAsia="Times New Roman" w:hAnsi="Arial" w:cs="Arial"/>
          <w:sz w:val="24"/>
          <w:szCs w:val="24"/>
          <w:lang w:eastAsia="en-GB"/>
        </w:rPr>
        <w:t>The narrative within</w:t>
      </w:r>
      <w:r w:rsidRPr="001649EF">
        <w:rPr>
          <w:rFonts w:ascii="Arial" w:eastAsia="Times New Roman" w:hAnsi="Arial" w:cs="Arial"/>
          <w:sz w:val="24"/>
          <w:szCs w:val="24"/>
          <w:lang w:eastAsia="en-GB"/>
        </w:rPr>
        <w:t xml:space="preserve"> this report provides details of key variances and the progress towards the achievement of savings. The revenue position includes a level of support from reserves that has previously been agreed. In 2019/20 reserve funding totals £10.245m, which was author</w:t>
      </w:r>
      <w:r w:rsidRPr="001649EF">
        <w:rPr>
          <w:rFonts w:ascii="Arial" w:eastAsia="Times New Roman" w:hAnsi="Arial" w:cs="Arial"/>
          <w:sz w:val="24"/>
          <w:szCs w:val="24"/>
          <w:lang w:eastAsia="en-GB"/>
        </w:rPr>
        <w:t xml:space="preserve">ised primarily to cover the structural funding gap. Returns on the treasury management activities of the council are forecast to significantly outperform the budget, which means that the need to call on reserves for the current year is unlikely. It should </w:t>
      </w:r>
      <w:r w:rsidRPr="001649EF">
        <w:rPr>
          <w:rFonts w:ascii="Arial" w:eastAsia="Times New Roman" w:hAnsi="Arial" w:cs="Arial"/>
          <w:sz w:val="24"/>
          <w:szCs w:val="24"/>
          <w:lang w:eastAsia="en-GB"/>
        </w:rPr>
        <w:t>be noted however that with the uncertainty that exists in the current economic environment, future investment returns cannot be guaranteed and significant pressure remains within the budget specifically in adult's and children's social care.</w:t>
      </w:r>
    </w:p>
    <w:p w:rsidR="00606EEB" w:rsidRPr="00606EEB" w:rsidRDefault="00BC15A2" w:rsidP="00606EEB">
      <w:pPr>
        <w:tabs>
          <w:tab w:val="left" w:pos="851"/>
          <w:tab w:val="left" w:pos="1418"/>
        </w:tabs>
        <w:spacing w:after="0"/>
        <w:jc w:val="both"/>
        <w:rPr>
          <w:rFonts w:ascii="Arial" w:eastAsia="Times New Roman" w:hAnsi="Arial" w:cs="Arial"/>
          <w:sz w:val="24"/>
          <w:szCs w:val="24"/>
          <w:highlight w:val="yellow"/>
          <w:lang w:eastAsia="en-GB"/>
        </w:rPr>
      </w:pPr>
    </w:p>
    <w:p w:rsidR="00606EEB" w:rsidRPr="001649EF" w:rsidRDefault="00BC15A2" w:rsidP="00606EEB">
      <w:pPr>
        <w:tabs>
          <w:tab w:val="left" w:pos="851"/>
          <w:tab w:val="left" w:pos="1418"/>
        </w:tabs>
        <w:spacing w:after="0"/>
        <w:jc w:val="both"/>
        <w:rPr>
          <w:rFonts w:ascii="Arial" w:eastAsia="Times New Roman" w:hAnsi="Arial" w:cs="Arial"/>
          <w:sz w:val="24"/>
          <w:szCs w:val="24"/>
          <w:lang w:eastAsia="en-GB"/>
        </w:rPr>
      </w:pPr>
      <w:r w:rsidRPr="001649EF">
        <w:rPr>
          <w:rFonts w:ascii="Arial" w:eastAsia="Times New Roman" w:hAnsi="Arial" w:cs="Arial"/>
          <w:sz w:val="24"/>
          <w:szCs w:val="24"/>
          <w:lang w:eastAsia="en-GB"/>
        </w:rPr>
        <w:t xml:space="preserve">The forecast </w:t>
      </w:r>
      <w:r w:rsidRPr="001649EF">
        <w:rPr>
          <w:rFonts w:ascii="Arial" w:eastAsia="Times New Roman" w:hAnsi="Arial" w:cs="Arial"/>
          <w:sz w:val="24"/>
          <w:szCs w:val="24"/>
          <w:lang w:eastAsia="en-GB"/>
        </w:rPr>
        <w:t xml:space="preserve">is based on </w:t>
      </w:r>
      <w:r>
        <w:rPr>
          <w:rFonts w:ascii="Arial" w:eastAsia="Times New Roman" w:hAnsi="Arial" w:cs="Arial"/>
          <w:sz w:val="24"/>
          <w:szCs w:val="24"/>
          <w:lang w:eastAsia="en-GB"/>
        </w:rPr>
        <w:t>9</w:t>
      </w:r>
      <w:r w:rsidRPr="001649EF">
        <w:rPr>
          <w:rFonts w:ascii="Arial" w:eastAsia="Times New Roman" w:hAnsi="Arial" w:cs="Arial"/>
          <w:sz w:val="24"/>
          <w:szCs w:val="24"/>
          <w:lang w:eastAsia="en-GB"/>
        </w:rPr>
        <w:t xml:space="preserve"> months of actual expenditure and income, combined with budget holder knowledge of anticipated activity over the rest of the year and trends from previous years. It has been produced before the winter period which can lead to fluctuations in demand for ser</w:t>
      </w:r>
      <w:r w:rsidRPr="001649EF">
        <w:rPr>
          <w:rFonts w:ascii="Arial" w:eastAsia="Times New Roman" w:hAnsi="Arial" w:cs="Arial"/>
          <w:sz w:val="24"/>
          <w:szCs w:val="24"/>
          <w:lang w:eastAsia="en-GB"/>
        </w:rPr>
        <w:t xml:space="preserve">vices. This means that there is expected to be volatility in the forecast however evidence from prior years indicates that officers are generally prudent in their forecasts at this point in the year. </w:t>
      </w:r>
    </w:p>
    <w:p w:rsidR="00606EEB" w:rsidRPr="00606EEB" w:rsidRDefault="00BC15A2" w:rsidP="00606EEB">
      <w:pPr>
        <w:pStyle w:val="ListParagraph"/>
        <w:tabs>
          <w:tab w:val="left" w:pos="851"/>
          <w:tab w:val="left" w:pos="1418"/>
        </w:tabs>
        <w:spacing w:after="0"/>
        <w:jc w:val="both"/>
        <w:rPr>
          <w:rFonts w:ascii="Arial" w:eastAsia="Times New Roman" w:hAnsi="Arial" w:cs="Arial"/>
          <w:sz w:val="24"/>
          <w:szCs w:val="24"/>
          <w:highlight w:val="yellow"/>
          <w:lang w:eastAsia="en-GB"/>
        </w:rPr>
      </w:pPr>
    </w:p>
    <w:p w:rsidR="00606EEB" w:rsidRPr="001649EF" w:rsidRDefault="00BC15A2" w:rsidP="00606EEB">
      <w:pPr>
        <w:spacing w:after="0"/>
        <w:jc w:val="both"/>
        <w:rPr>
          <w:rFonts w:ascii="Arial" w:eastAsia="Times New Roman" w:hAnsi="Arial" w:cs="Arial"/>
          <w:sz w:val="24"/>
          <w:szCs w:val="24"/>
          <w:lang w:eastAsia="en-GB"/>
        </w:rPr>
      </w:pPr>
      <w:r w:rsidRPr="001649EF">
        <w:rPr>
          <w:rFonts w:ascii="Arial" w:eastAsia="Times New Roman" w:hAnsi="Arial" w:cs="Arial"/>
          <w:sz w:val="24"/>
          <w:szCs w:val="24"/>
          <w:lang w:eastAsia="en-GB"/>
        </w:rPr>
        <w:lastRenderedPageBreak/>
        <w:t xml:space="preserve">In order to complete the forecast position at the end </w:t>
      </w:r>
      <w:r w:rsidRPr="001649EF">
        <w:rPr>
          <w:rFonts w:ascii="Arial" w:eastAsia="Times New Roman" w:hAnsi="Arial" w:cs="Arial"/>
          <w:sz w:val="24"/>
          <w:szCs w:val="24"/>
          <w:lang w:eastAsia="en-GB"/>
        </w:rPr>
        <w:t>of Quarter 3 a detailed analysis of year to date income and expenditure has taken place for each service area in conjunction with a review of activity data and comparison has been made with trends in previous years. The position that is reported reflects o</w:t>
      </w:r>
      <w:r w:rsidRPr="001649EF">
        <w:rPr>
          <w:rFonts w:ascii="Arial" w:eastAsia="Times New Roman" w:hAnsi="Arial" w:cs="Arial"/>
          <w:sz w:val="24"/>
          <w:szCs w:val="24"/>
          <w:lang w:eastAsia="en-GB"/>
        </w:rPr>
        <w:t xml:space="preserve">ur most robust forecast at this stage. However, there are some volatile, primarily demand led, service areas that could see their forecast fluctuate both positively and negatively during the rest of the financial year. Areas such as </w:t>
      </w:r>
      <w:proofErr w:type="spellStart"/>
      <w:r w:rsidRPr="001649EF">
        <w:rPr>
          <w:rFonts w:ascii="Arial" w:eastAsia="Times New Roman" w:hAnsi="Arial" w:cs="Arial"/>
          <w:sz w:val="24"/>
          <w:szCs w:val="24"/>
          <w:lang w:eastAsia="en-GB"/>
        </w:rPr>
        <w:t>recyclate</w:t>
      </w:r>
      <w:proofErr w:type="spellEnd"/>
      <w:r w:rsidRPr="001649EF">
        <w:rPr>
          <w:rFonts w:ascii="Arial" w:eastAsia="Times New Roman" w:hAnsi="Arial" w:cs="Arial"/>
          <w:sz w:val="24"/>
          <w:szCs w:val="24"/>
          <w:lang w:eastAsia="en-GB"/>
        </w:rPr>
        <w:t xml:space="preserve"> income, conce</w:t>
      </w:r>
      <w:r w:rsidRPr="001649EF">
        <w:rPr>
          <w:rFonts w:ascii="Arial" w:eastAsia="Times New Roman" w:hAnsi="Arial" w:cs="Arial"/>
          <w:sz w:val="24"/>
          <w:szCs w:val="24"/>
          <w:lang w:eastAsia="en-GB"/>
        </w:rPr>
        <w:t xml:space="preserve">ssionary travel, treasury management, adult social care and children's social care are areas that are particularly closely monitored as fluctuations across these areas are most likely to materially impact the forecast position. </w:t>
      </w:r>
    </w:p>
    <w:p w:rsidR="00606EEB" w:rsidRPr="00606EEB" w:rsidRDefault="00BC15A2" w:rsidP="00606EEB">
      <w:pPr>
        <w:spacing w:after="0"/>
        <w:jc w:val="both"/>
        <w:rPr>
          <w:rFonts w:ascii="Arial" w:hAnsi="Arial" w:cs="Arial"/>
          <w:sz w:val="24"/>
          <w:szCs w:val="24"/>
          <w:highlight w:val="yellow"/>
        </w:rPr>
      </w:pPr>
    </w:p>
    <w:p w:rsidR="00606EEB" w:rsidRPr="00E171CA" w:rsidRDefault="00BC15A2" w:rsidP="00606EEB">
      <w:pPr>
        <w:spacing w:after="0"/>
        <w:jc w:val="both"/>
        <w:rPr>
          <w:rFonts w:ascii="Arial" w:hAnsi="Arial" w:cs="Arial"/>
          <w:sz w:val="24"/>
          <w:szCs w:val="24"/>
        </w:rPr>
      </w:pPr>
      <w:r w:rsidRPr="00E171CA">
        <w:rPr>
          <w:rFonts w:ascii="Arial" w:hAnsi="Arial" w:cs="Arial"/>
          <w:sz w:val="24"/>
          <w:szCs w:val="24"/>
        </w:rPr>
        <w:t>As part of the forecast ab</w:t>
      </w:r>
      <w:r w:rsidRPr="00E171CA">
        <w:rPr>
          <w:rFonts w:ascii="Arial" w:hAnsi="Arial" w:cs="Arial"/>
          <w:sz w:val="24"/>
          <w:szCs w:val="24"/>
        </w:rPr>
        <w:t>ove, analysis is also completed of some key cross cutting areas within service budgets, particular analysis is undertaken on staffing budgets as they represent approximately half of the council's net budget. Staffing budgets are currently forecast to under</w:t>
      </w:r>
      <w:r w:rsidRPr="00E171CA">
        <w:rPr>
          <w:rFonts w:ascii="Arial" w:hAnsi="Arial" w:cs="Arial"/>
          <w:sz w:val="24"/>
          <w:szCs w:val="24"/>
        </w:rPr>
        <w:t>spend by £961,000. Services such as mental health and the children, family and wellbeing service currently have relatively high levels of vacancies but continue to undertake recruitment campaigns during 2019/20 and therefore their underspends are not expec</w:t>
      </w:r>
      <w:r w:rsidRPr="00E171CA">
        <w:rPr>
          <w:rFonts w:ascii="Arial" w:hAnsi="Arial" w:cs="Arial"/>
          <w:sz w:val="24"/>
          <w:szCs w:val="24"/>
        </w:rPr>
        <w:t>ted to be recurrent. The staffing budgets this year contain savings relating to a vacancy factor and also terms and conditions. The information available at Quarter 3 continues to indicate that the vacancy factor is slightly higher than expected reducing f</w:t>
      </w:r>
      <w:r w:rsidRPr="00E171CA">
        <w:rPr>
          <w:rFonts w:ascii="Arial" w:hAnsi="Arial" w:cs="Arial"/>
          <w:sz w:val="24"/>
          <w:szCs w:val="24"/>
        </w:rPr>
        <w:t>orecast staff costs and offsetting the terms and conditions saving in relation to unpaid annual leave, sickness levels and agency spend, which is not delivering at the anticipated rate. This position will continue to be kept under close review during the r</w:t>
      </w:r>
      <w:r w:rsidRPr="00E171CA">
        <w:rPr>
          <w:rFonts w:ascii="Arial" w:hAnsi="Arial" w:cs="Arial"/>
          <w:sz w:val="24"/>
          <w:szCs w:val="24"/>
        </w:rPr>
        <w:t xml:space="preserve">emainder of the year.  </w:t>
      </w:r>
    </w:p>
    <w:p w:rsidR="00606EEB" w:rsidRPr="00606EEB" w:rsidRDefault="00BC15A2" w:rsidP="00606EEB">
      <w:pPr>
        <w:spacing w:after="0"/>
        <w:jc w:val="both"/>
        <w:rPr>
          <w:rFonts w:ascii="Arial" w:hAnsi="Arial" w:cs="Arial"/>
          <w:sz w:val="24"/>
          <w:szCs w:val="24"/>
          <w:highlight w:val="yellow"/>
        </w:rPr>
      </w:pPr>
    </w:p>
    <w:p w:rsidR="00606EEB" w:rsidRDefault="00BC15A2" w:rsidP="00606EEB">
      <w:pPr>
        <w:spacing w:after="0"/>
        <w:jc w:val="both"/>
        <w:rPr>
          <w:rFonts w:ascii="Arial" w:hAnsi="Arial" w:cs="Arial"/>
          <w:sz w:val="24"/>
          <w:szCs w:val="24"/>
        </w:rPr>
      </w:pPr>
      <w:r w:rsidRPr="008C0418">
        <w:rPr>
          <w:rFonts w:ascii="Arial" w:hAnsi="Arial" w:cs="Arial"/>
          <w:sz w:val="24"/>
          <w:szCs w:val="24"/>
        </w:rPr>
        <w:t>The savings that have been agreed to date are also close</w:t>
      </w:r>
      <w:r>
        <w:rPr>
          <w:rFonts w:ascii="Arial" w:hAnsi="Arial" w:cs="Arial"/>
          <w:sz w:val="24"/>
          <w:szCs w:val="24"/>
        </w:rPr>
        <w:t>ly monitored, with a total of £49.452</w:t>
      </w:r>
      <w:r w:rsidRPr="008C0418">
        <w:rPr>
          <w:rFonts w:ascii="Arial" w:hAnsi="Arial" w:cs="Arial"/>
          <w:sz w:val="24"/>
          <w:szCs w:val="24"/>
        </w:rPr>
        <w:t xml:space="preserve">m </w:t>
      </w:r>
      <w:r>
        <w:rPr>
          <w:rFonts w:ascii="Arial" w:hAnsi="Arial" w:cs="Arial"/>
          <w:sz w:val="24"/>
          <w:szCs w:val="24"/>
        </w:rPr>
        <w:t xml:space="preserve">forecast </w:t>
      </w:r>
      <w:r w:rsidRPr="008C0418">
        <w:rPr>
          <w:rFonts w:ascii="Arial" w:hAnsi="Arial" w:cs="Arial"/>
          <w:sz w:val="24"/>
          <w:szCs w:val="24"/>
        </w:rPr>
        <w:t xml:space="preserve">to be delivered in 2019/20. The financial position at the end of quarter 3 has an assessment of 94.5% of </w:t>
      </w:r>
      <w:r>
        <w:rPr>
          <w:rFonts w:ascii="Arial" w:hAnsi="Arial" w:cs="Arial"/>
          <w:sz w:val="24"/>
          <w:szCs w:val="24"/>
        </w:rPr>
        <w:t xml:space="preserve">all agreed </w:t>
      </w:r>
      <w:r w:rsidRPr="008C0418">
        <w:rPr>
          <w:rFonts w:ascii="Arial" w:hAnsi="Arial" w:cs="Arial"/>
          <w:sz w:val="24"/>
          <w:szCs w:val="24"/>
        </w:rPr>
        <w:t>savings rat</w:t>
      </w:r>
      <w:r w:rsidRPr="008C0418">
        <w:rPr>
          <w:rFonts w:ascii="Arial" w:hAnsi="Arial" w:cs="Arial"/>
          <w:sz w:val="24"/>
          <w:szCs w:val="24"/>
        </w:rPr>
        <w:t xml:space="preserve">ed as on track, but some potentially with issues to work through such as delays. The remaining circa 5% are the most challenging to deliver currently, and services continue to work hard to deliver those savings and are regularly reporting progress. </w:t>
      </w:r>
      <w:r>
        <w:rPr>
          <w:rFonts w:ascii="Arial" w:hAnsi="Arial" w:cs="Arial"/>
          <w:sz w:val="24"/>
          <w:szCs w:val="24"/>
        </w:rPr>
        <w:t>Histori</w:t>
      </w:r>
      <w:r>
        <w:rPr>
          <w:rFonts w:ascii="Arial" w:hAnsi="Arial" w:cs="Arial"/>
          <w:sz w:val="24"/>
          <w:szCs w:val="24"/>
        </w:rPr>
        <w:t>cally i</w:t>
      </w:r>
      <w:r w:rsidRPr="008C0418">
        <w:rPr>
          <w:rFonts w:ascii="Arial" w:hAnsi="Arial" w:cs="Arial"/>
          <w:sz w:val="24"/>
          <w:szCs w:val="24"/>
        </w:rPr>
        <w:t>n some cases due to changing circumstances some savings have been declared undeliverable and are built back into the budget within the medium term financial st</w:t>
      </w:r>
      <w:r>
        <w:rPr>
          <w:rFonts w:ascii="Arial" w:hAnsi="Arial" w:cs="Arial"/>
          <w:sz w:val="24"/>
          <w:szCs w:val="24"/>
        </w:rPr>
        <w:t>rategy from 2020/21 there are no further savings to be added back at this time</w:t>
      </w:r>
      <w:r w:rsidRPr="008C0418">
        <w:rPr>
          <w:rFonts w:ascii="Arial" w:hAnsi="Arial" w:cs="Arial"/>
          <w:sz w:val="24"/>
          <w:szCs w:val="24"/>
        </w:rPr>
        <w:t xml:space="preserve">. </w:t>
      </w: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Default="00BC15A2" w:rsidP="00606EEB">
      <w:pPr>
        <w:spacing w:after="0"/>
        <w:jc w:val="both"/>
        <w:rPr>
          <w:rFonts w:ascii="Arial" w:hAnsi="Arial" w:cs="Arial"/>
          <w:sz w:val="24"/>
          <w:szCs w:val="24"/>
        </w:rPr>
      </w:pPr>
    </w:p>
    <w:p w:rsidR="00D34F4C" w:rsidRPr="008C0418" w:rsidRDefault="00BC15A2" w:rsidP="00606EEB">
      <w:pPr>
        <w:spacing w:after="0"/>
        <w:jc w:val="both"/>
        <w:rPr>
          <w:rFonts w:ascii="Arial" w:hAnsi="Arial" w:cs="Arial"/>
          <w:sz w:val="24"/>
          <w:szCs w:val="24"/>
        </w:rPr>
      </w:pPr>
    </w:p>
    <w:p w:rsidR="00606EEB" w:rsidRPr="00606EEB" w:rsidRDefault="00BC15A2" w:rsidP="00606EEB">
      <w:pPr>
        <w:spacing w:after="0"/>
        <w:rPr>
          <w:rFonts w:ascii="Arial" w:hAnsi="Arial" w:cs="Arial"/>
          <w:b/>
          <w:sz w:val="24"/>
          <w:szCs w:val="24"/>
          <w:highlight w:val="yellow"/>
          <w:u w:val="single"/>
        </w:rPr>
      </w:pPr>
    </w:p>
    <w:p w:rsidR="00606EEB" w:rsidRPr="008A6E21" w:rsidRDefault="00BC15A2" w:rsidP="00D12D70">
      <w:pPr>
        <w:pStyle w:val="ListParagraph"/>
        <w:numPr>
          <w:ilvl w:val="0"/>
          <w:numId w:val="13"/>
        </w:numPr>
        <w:spacing w:after="0"/>
        <w:rPr>
          <w:rFonts w:ascii="Arial" w:hAnsi="Arial" w:cs="Arial"/>
          <w:b/>
          <w:sz w:val="24"/>
          <w:szCs w:val="24"/>
          <w:u w:val="single"/>
        </w:rPr>
      </w:pPr>
      <w:r w:rsidRPr="008A6E21">
        <w:rPr>
          <w:rFonts w:ascii="Arial" w:hAnsi="Arial" w:cs="Arial"/>
          <w:b/>
          <w:sz w:val="24"/>
          <w:szCs w:val="24"/>
          <w:u w:val="single"/>
        </w:rPr>
        <w:lastRenderedPageBreak/>
        <w:t>Adult Services</w:t>
      </w:r>
    </w:p>
    <w:p w:rsidR="00606EEB" w:rsidRPr="00606EEB" w:rsidRDefault="00BC15A2">
      <w:pPr>
        <w:rPr>
          <w:rFonts w:ascii="Arial" w:hAnsi="Arial" w:cs="Arial"/>
          <w:sz w:val="24"/>
          <w:szCs w:val="24"/>
          <w:highlight w:val="yellow"/>
        </w:rPr>
      </w:pPr>
    </w:p>
    <w:tbl>
      <w:tblPr>
        <w:tblW w:w="13997" w:type="dxa"/>
        <w:tblLook w:val="04A0" w:firstRow="1" w:lastRow="0" w:firstColumn="1" w:lastColumn="0" w:noHBand="0" w:noVBand="1"/>
      </w:tblPr>
      <w:tblGrid>
        <w:gridCol w:w="1603"/>
        <w:gridCol w:w="1314"/>
        <w:gridCol w:w="1314"/>
        <w:gridCol w:w="1314"/>
        <w:gridCol w:w="1103"/>
        <w:gridCol w:w="1041"/>
        <w:gridCol w:w="1041"/>
        <w:gridCol w:w="1103"/>
        <w:gridCol w:w="1041"/>
        <w:gridCol w:w="1041"/>
        <w:gridCol w:w="1041"/>
        <w:gridCol w:w="1041"/>
      </w:tblGrid>
      <w:tr w:rsidR="006A7256" w:rsidTr="00B15B9C">
        <w:trPr>
          <w:trHeight w:val="1100"/>
        </w:trPr>
        <w:tc>
          <w:tcPr>
            <w:tcW w:w="1691" w:type="dxa"/>
            <w:tcBorders>
              <w:top w:val="single" w:sz="4" w:space="0" w:color="auto"/>
              <w:left w:val="single" w:sz="4" w:space="0" w:color="auto"/>
              <w:bottom w:val="nil"/>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ADULTS</w:t>
            </w:r>
          </w:p>
        </w:tc>
        <w:tc>
          <w:tcPr>
            <w:tcW w:w="1248"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248"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248"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Approved N</w:t>
            </w:r>
            <w:r w:rsidRPr="00FF0E49">
              <w:rPr>
                <w:rFonts w:ascii="Arial" w:eastAsia="Times New Roman" w:hAnsi="Arial" w:cs="Arial"/>
                <w:b/>
                <w:bCs/>
                <w:color w:val="000000"/>
                <w:sz w:val="19"/>
                <w:szCs w:val="19"/>
                <w:lang w:eastAsia="en-GB"/>
              </w:rPr>
              <w:t xml:space="preserve">et Budget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064"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B15B9C">
        <w:trPr>
          <w:trHeight w:val="258"/>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258"/>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DISABILITY (adults)</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34.609</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34.115</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-0.494</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-35.460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-35.406</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0.054</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-0.851</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-1.291</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-0.440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-51.70%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-0.576</w:t>
            </w:r>
          </w:p>
        </w:tc>
      </w:tr>
      <w:tr w:rsidR="006A7256" w:rsidTr="00B15B9C">
        <w:trPr>
          <w:trHeight w:val="659"/>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Learning Disabilities, Autism &amp; Mental Health</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196.820</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200.293</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3.473</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-23.964</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-28.617</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-4.653</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172.856</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171.676</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-1.180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-0.68%</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0.471</w:t>
            </w:r>
          </w:p>
        </w:tc>
      </w:tr>
      <w:tr w:rsidR="006A7256" w:rsidTr="00B15B9C">
        <w:trPr>
          <w:trHeight w:val="659"/>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RESIDENTIAL &amp; DAY CARE SERVICES FOR OLDER PEOPLE</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24.431</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25.960</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1.529</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-22.589</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-23.432</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-0.843</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1.842</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2.528</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0.686</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37.24%</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0.972</w:t>
            </w:r>
          </w:p>
        </w:tc>
      </w:tr>
      <w:tr w:rsidR="006A7256" w:rsidTr="00B15B9C">
        <w:trPr>
          <w:trHeight w:val="440"/>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SOCIAL CARE SERVICES (adults)</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299.778</w:t>
            </w:r>
          </w:p>
        </w:tc>
        <w:tc>
          <w:tcPr>
            <w:tcW w:w="1248"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316.001</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16.223</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-132.920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-137.853</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-4.933</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166.858</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178.148</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11.290</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6.77%</w:t>
            </w:r>
          </w:p>
        </w:tc>
        <w:tc>
          <w:tcPr>
            <w:tcW w:w="1064"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11.270</w:t>
            </w:r>
          </w:p>
        </w:tc>
      </w:tr>
      <w:tr w:rsidR="006A7256" w:rsidTr="00B15B9C">
        <w:trPr>
          <w:trHeight w:val="258"/>
        </w:trPr>
        <w:tc>
          <w:tcPr>
            <w:tcW w:w="169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ADULTS</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555.638</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576.369</w:t>
            </w:r>
          </w:p>
        </w:tc>
        <w:tc>
          <w:tcPr>
            <w:tcW w:w="1248"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20.731</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-214.933</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-225.308</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-10.375</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340.705</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351.061</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10.356</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3.04%</w:t>
            </w:r>
          </w:p>
        </w:tc>
        <w:tc>
          <w:tcPr>
            <w:tcW w:w="1064"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12.137</w:t>
            </w:r>
          </w:p>
        </w:tc>
      </w:tr>
    </w:tbl>
    <w:p w:rsidR="00D12D70" w:rsidRDefault="00BC15A2" w:rsidP="00606EEB">
      <w:pPr>
        <w:tabs>
          <w:tab w:val="left" w:pos="0"/>
          <w:tab w:val="left" w:pos="1418"/>
        </w:tabs>
        <w:spacing w:after="0" w:line="240" w:lineRule="auto"/>
        <w:contextualSpacing/>
        <w:jc w:val="both"/>
        <w:rPr>
          <w:rFonts w:ascii="Arial" w:hAnsi="Arial" w:cs="Arial"/>
          <w:b/>
          <w:sz w:val="24"/>
          <w:szCs w:val="24"/>
          <w:highlight w:val="yellow"/>
        </w:rPr>
      </w:pPr>
    </w:p>
    <w:p w:rsidR="00606EEB" w:rsidRPr="00606EEB" w:rsidRDefault="00BC15A2" w:rsidP="00606EEB">
      <w:pPr>
        <w:tabs>
          <w:tab w:val="left" w:pos="0"/>
          <w:tab w:val="left" w:pos="1418"/>
        </w:tabs>
        <w:spacing w:after="0" w:line="240" w:lineRule="auto"/>
        <w:contextualSpacing/>
        <w:jc w:val="both"/>
        <w:rPr>
          <w:rFonts w:ascii="Arial" w:hAnsi="Arial" w:cs="Arial"/>
          <w:b/>
          <w:sz w:val="24"/>
          <w:szCs w:val="24"/>
          <w:highlight w:val="yellow"/>
        </w:rPr>
      </w:pPr>
    </w:p>
    <w:p w:rsidR="00606EEB" w:rsidRPr="00181325" w:rsidRDefault="00BC15A2" w:rsidP="00606EEB">
      <w:pPr>
        <w:tabs>
          <w:tab w:val="left" w:pos="0"/>
          <w:tab w:val="left" w:pos="1418"/>
        </w:tabs>
        <w:spacing w:after="0" w:line="240" w:lineRule="auto"/>
        <w:contextualSpacing/>
        <w:jc w:val="both"/>
        <w:rPr>
          <w:rFonts w:ascii="Arial" w:hAnsi="Arial" w:cs="Arial"/>
          <w:b/>
          <w:sz w:val="24"/>
          <w:szCs w:val="24"/>
        </w:rPr>
      </w:pPr>
      <w:r w:rsidRPr="008A6E21">
        <w:rPr>
          <w:rFonts w:ascii="Arial" w:hAnsi="Arial" w:cs="Arial"/>
          <w:b/>
          <w:sz w:val="24"/>
          <w:szCs w:val="24"/>
        </w:rPr>
        <w:t xml:space="preserve">Adult Services – </w:t>
      </w:r>
      <w:r w:rsidRPr="00181325">
        <w:rPr>
          <w:rFonts w:ascii="Arial" w:hAnsi="Arial" w:cs="Arial"/>
          <w:b/>
          <w:sz w:val="24"/>
          <w:szCs w:val="24"/>
        </w:rPr>
        <w:t xml:space="preserve">forecast </w:t>
      </w:r>
      <w:r w:rsidRPr="00181325">
        <w:rPr>
          <w:rFonts w:ascii="Arial" w:hAnsi="Arial" w:cs="Arial"/>
          <w:b/>
          <w:sz w:val="24"/>
          <w:szCs w:val="24"/>
        </w:rPr>
        <w:t>overspend £10.356m</w:t>
      </w:r>
      <w:r>
        <w:rPr>
          <w:rFonts w:ascii="Arial" w:hAnsi="Arial" w:cs="Arial"/>
          <w:b/>
          <w:sz w:val="24"/>
          <w:szCs w:val="24"/>
        </w:rPr>
        <w:t xml:space="preserve"> </w:t>
      </w:r>
    </w:p>
    <w:p w:rsidR="00606EEB" w:rsidRPr="00606EEB" w:rsidRDefault="00BC15A2" w:rsidP="00606EEB">
      <w:pPr>
        <w:spacing w:after="0"/>
        <w:jc w:val="both"/>
        <w:rPr>
          <w:rFonts w:ascii="Arial" w:hAnsi="Arial" w:cs="Arial"/>
          <w:sz w:val="24"/>
          <w:szCs w:val="24"/>
          <w:highlight w:val="yellow"/>
        </w:rPr>
      </w:pPr>
    </w:p>
    <w:p w:rsidR="00606EEB" w:rsidRPr="00181325" w:rsidRDefault="00BC15A2" w:rsidP="00606EEB">
      <w:pPr>
        <w:spacing w:after="0"/>
        <w:jc w:val="both"/>
        <w:rPr>
          <w:rFonts w:ascii="Arial" w:hAnsi="Arial" w:cs="Arial"/>
          <w:sz w:val="24"/>
          <w:szCs w:val="24"/>
        </w:rPr>
      </w:pPr>
      <w:r w:rsidRPr="00181325">
        <w:rPr>
          <w:rFonts w:ascii="Arial" w:hAnsi="Arial" w:cs="Arial"/>
          <w:sz w:val="24"/>
          <w:szCs w:val="24"/>
        </w:rPr>
        <w:t>The largest elements of the overall forecast overspend across the Adult Services Directorate relate to the underachievement in Passport to Independence and Sleep-in savings</w:t>
      </w:r>
      <w:r>
        <w:rPr>
          <w:rFonts w:ascii="Arial" w:hAnsi="Arial" w:cs="Arial"/>
          <w:sz w:val="24"/>
          <w:szCs w:val="24"/>
        </w:rPr>
        <w:t>.</w:t>
      </w:r>
    </w:p>
    <w:p w:rsidR="00606EEB" w:rsidRPr="00606EEB" w:rsidRDefault="00BC15A2" w:rsidP="00606EEB">
      <w:pPr>
        <w:spacing w:after="0"/>
        <w:jc w:val="both"/>
        <w:rPr>
          <w:rFonts w:ascii="Arial" w:hAnsi="Arial" w:cs="Arial"/>
          <w:sz w:val="24"/>
          <w:szCs w:val="24"/>
          <w:highlight w:val="yellow"/>
        </w:rPr>
      </w:pPr>
    </w:p>
    <w:p w:rsidR="00606EEB" w:rsidRPr="00345329" w:rsidRDefault="00BC15A2" w:rsidP="00606EEB">
      <w:pPr>
        <w:spacing w:after="0"/>
        <w:jc w:val="both"/>
        <w:rPr>
          <w:rFonts w:ascii="Arial" w:hAnsi="Arial" w:cs="Arial"/>
          <w:sz w:val="24"/>
          <w:szCs w:val="24"/>
        </w:rPr>
      </w:pPr>
      <w:r w:rsidRPr="00345329">
        <w:rPr>
          <w:rFonts w:ascii="Arial" w:hAnsi="Arial" w:cs="Arial"/>
          <w:sz w:val="24"/>
          <w:szCs w:val="24"/>
        </w:rPr>
        <w:t xml:space="preserve">The principle aim of the Passport to Independence programme </w:t>
      </w:r>
      <w:r w:rsidRPr="00345329">
        <w:rPr>
          <w:rFonts w:ascii="Arial" w:hAnsi="Arial" w:cs="Arial"/>
          <w:sz w:val="24"/>
          <w:szCs w:val="24"/>
        </w:rPr>
        <w:t>has been to support primarily older adults to retain their independence for longer. The service has been hugely effective in supporting more people home from hospital reducing demand for residential care and helping ease the pressure on the NHS.  The activ</w:t>
      </w:r>
      <w:r w:rsidRPr="00345329">
        <w:rPr>
          <w:rFonts w:ascii="Arial" w:hAnsi="Arial" w:cs="Arial"/>
          <w:sz w:val="24"/>
          <w:szCs w:val="24"/>
        </w:rPr>
        <w:t>ity and financial impacts relating to Passport to Independence have been reviewed and projected forward, this work has highlighted that the actual duration of savings benefits and the values of weekly savings achieved are lower than originally modelled. Th</w:t>
      </w:r>
      <w:r w:rsidRPr="00345329">
        <w:rPr>
          <w:rFonts w:ascii="Arial" w:hAnsi="Arial" w:cs="Arial"/>
          <w:sz w:val="24"/>
          <w:szCs w:val="24"/>
        </w:rPr>
        <w:t xml:space="preserve">is is commensurate with what other system partners report about responding </w:t>
      </w:r>
      <w:r w:rsidRPr="00345329">
        <w:rPr>
          <w:rFonts w:ascii="Arial" w:hAnsi="Arial" w:cs="Arial"/>
          <w:sz w:val="24"/>
          <w:szCs w:val="24"/>
        </w:rPr>
        <w:lastRenderedPageBreak/>
        <w:t xml:space="preserve">to greater numbers and levels of complexity. This results in a </w:t>
      </w:r>
      <w:r>
        <w:rPr>
          <w:rFonts w:ascii="Arial" w:hAnsi="Arial" w:cs="Arial"/>
          <w:sz w:val="24"/>
          <w:szCs w:val="24"/>
        </w:rPr>
        <w:t>savings under-delivery of £10.009</w:t>
      </w:r>
      <w:r w:rsidRPr="00345329">
        <w:rPr>
          <w:rFonts w:ascii="Arial" w:hAnsi="Arial" w:cs="Arial"/>
          <w:sz w:val="24"/>
          <w:szCs w:val="24"/>
        </w:rPr>
        <w:t>m and the forecast has been reduced to reflect this.</w:t>
      </w:r>
    </w:p>
    <w:p w:rsidR="00606EEB" w:rsidRPr="00606EEB" w:rsidRDefault="00BC15A2" w:rsidP="00606EEB">
      <w:pPr>
        <w:spacing w:after="0"/>
        <w:jc w:val="both"/>
        <w:rPr>
          <w:rFonts w:ascii="Arial" w:hAnsi="Arial" w:cs="Arial"/>
          <w:sz w:val="24"/>
          <w:szCs w:val="24"/>
          <w:highlight w:val="yellow"/>
        </w:rPr>
      </w:pPr>
    </w:p>
    <w:p w:rsidR="00606EEB" w:rsidRDefault="00BC15A2" w:rsidP="00606EEB">
      <w:pPr>
        <w:spacing w:after="0"/>
        <w:jc w:val="both"/>
        <w:rPr>
          <w:rFonts w:ascii="Arial" w:hAnsi="Arial" w:cs="Arial"/>
          <w:sz w:val="24"/>
          <w:szCs w:val="24"/>
        </w:rPr>
      </w:pPr>
      <w:r w:rsidRPr="00A3772D">
        <w:rPr>
          <w:rFonts w:ascii="Arial" w:hAnsi="Arial" w:cs="Arial"/>
          <w:sz w:val="24"/>
          <w:szCs w:val="24"/>
        </w:rPr>
        <w:t>There is also the underachievem</w:t>
      </w:r>
      <w:r w:rsidRPr="00A3772D">
        <w:rPr>
          <w:rFonts w:ascii="Arial" w:hAnsi="Arial" w:cs="Arial"/>
          <w:sz w:val="24"/>
          <w:szCs w:val="24"/>
        </w:rPr>
        <w:t>ent of the sleep-ins service challenge saving which aimed to realign the rates paid for sleep in duty to more sustainable and market led levels, following the decision by cabinet in Q1 in relation to new rates being applied this results in a forecast under</w:t>
      </w:r>
      <w:r w:rsidRPr="00A3772D">
        <w:rPr>
          <w:rFonts w:ascii="Arial" w:hAnsi="Arial" w:cs="Arial"/>
          <w:sz w:val="24"/>
          <w:szCs w:val="24"/>
        </w:rPr>
        <w:t xml:space="preserve"> delivery of £4.600m for the year.</w:t>
      </w:r>
    </w:p>
    <w:p w:rsidR="008E5C91" w:rsidRDefault="00BC15A2" w:rsidP="00606EEB">
      <w:pPr>
        <w:spacing w:after="0"/>
        <w:jc w:val="both"/>
        <w:rPr>
          <w:rFonts w:ascii="Arial" w:hAnsi="Arial" w:cs="Arial"/>
          <w:sz w:val="24"/>
          <w:szCs w:val="24"/>
        </w:rPr>
      </w:pPr>
    </w:p>
    <w:p w:rsidR="00606EEB" w:rsidRPr="003C1E1D" w:rsidRDefault="00BC15A2" w:rsidP="00606EEB">
      <w:pPr>
        <w:spacing w:after="0"/>
        <w:jc w:val="both"/>
        <w:rPr>
          <w:rFonts w:ascii="Arial" w:hAnsi="Arial" w:cs="Arial"/>
          <w:sz w:val="24"/>
          <w:szCs w:val="24"/>
        </w:rPr>
      </w:pPr>
      <w:r w:rsidRPr="003C1E1D">
        <w:rPr>
          <w:rFonts w:ascii="Arial" w:hAnsi="Arial" w:cs="Arial"/>
          <w:sz w:val="24"/>
          <w:szCs w:val="24"/>
        </w:rPr>
        <w:t>The other most significant variances within the directorate are as follows:</w:t>
      </w:r>
    </w:p>
    <w:p w:rsidR="00606EEB" w:rsidRPr="003C1E1D" w:rsidRDefault="00BC15A2" w:rsidP="00606EEB">
      <w:pPr>
        <w:spacing w:after="0"/>
        <w:jc w:val="both"/>
        <w:rPr>
          <w:rFonts w:ascii="Arial" w:hAnsi="Arial" w:cs="Arial"/>
          <w:sz w:val="24"/>
          <w:szCs w:val="24"/>
        </w:rPr>
      </w:pPr>
    </w:p>
    <w:p w:rsidR="00606EEB" w:rsidRPr="003C1E1D" w:rsidRDefault="00BC15A2" w:rsidP="00606EEB">
      <w:pPr>
        <w:spacing w:after="0"/>
        <w:jc w:val="both"/>
        <w:rPr>
          <w:rFonts w:ascii="Arial" w:hAnsi="Arial" w:cs="Arial"/>
          <w:bCs/>
          <w:sz w:val="24"/>
          <w:szCs w:val="24"/>
        </w:rPr>
      </w:pPr>
      <w:r w:rsidRPr="003C1E1D">
        <w:rPr>
          <w:rFonts w:ascii="Arial" w:hAnsi="Arial" w:cs="Arial"/>
          <w:sz w:val="24"/>
          <w:szCs w:val="24"/>
        </w:rPr>
        <w:t xml:space="preserve">There are staffing and agency variances in Disability with an underspend of £440,000, </w:t>
      </w:r>
      <w:r w:rsidRPr="003C1E1D">
        <w:rPr>
          <w:rFonts w:ascii="Arial" w:hAnsi="Arial" w:cs="Arial"/>
          <w:bCs/>
          <w:sz w:val="24"/>
          <w:szCs w:val="24"/>
        </w:rPr>
        <w:t>Residential &amp; Day Care Services for Older People forecast</w:t>
      </w:r>
      <w:r w:rsidRPr="003C1E1D">
        <w:rPr>
          <w:rFonts w:ascii="Arial" w:hAnsi="Arial" w:cs="Arial"/>
          <w:bCs/>
          <w:sz w:val="24"/>
          <w:szCs w:val="24"/>
        </w:rPr>
        <w:t>ing an overspend of £802,000, and Learning Disabilities, Autism &amp; Mental Health with an expected underspend of £1.217m</w:t>
      </w:r>
    </w:p>
    <w:p w:rsidR="00606EEB" w:rsidRPr="003C1E1D" w:rsidRDefault="00BC15A2" w:rsidP="00606EEB">
      <w:pPr>
        <w:spacing w:after="0"/>
        <w:jc w:val="both"/>
        <w:rPr>
          <w:rFonts w:ascii="Arial" w:hAnsi="Arial" w:cs="Arial"/>
          <w:bCs/>
          <w:sz w:val="24"/>
          <w:szCs w:val="24"/>
        </w:rPr>
      </w:pPr>
    </w:p>
    <w:p w:rsidR="00606EEB" w:rsidRPr="003C1E1D" w:rsidRDefault="00BC15A2" w:rsidP="00606EEB">
      <w:pPr>
        <w:spacing w:after="0"/>
        <w:jc w:val="both"/>
        <w:rPr>
          <w:rFonts w:ascii="Arial" w:hAnsi="Arial" w:cs="Arial"/>
          <w:sz w:val="24"/>
          <w:szCs w:val="24"/>
        </w:rPr>
      </w:pPr>
      <w:r w:rsidRPr="003C1E1D">
        <w:rPr>
          <w:rFonts w:ascii="Arial" w:hAnsi="Arial" w:cs="Arial"/>
          <w:bCs/>
          <w:sz w:val="24"/>
          <w:szCs w:val="24"/>
        </w:rPr>
        <w:t>Also within</w:t>
      </w:r>
      <w:r w:rsidRPr="003C1E1D">
        <w:rPr>
          <w:rFonts w:ascii="Arial" w:hAnsi="Arial" w:cs="Arial"/>
          <w:b/>
          <w:bCs/>
          <w:sz w:val="24"/>
          <w:szCs w:val="24"/>
        </w:rPr>
        <w:t xml:space="preserve"> </w:t>
      </w:r>
      <w:r w:rsidRPr="003C1E1D">
        <w:rPr>
          <w:rFonts w:ascii="Arial" w:hAnsi="Arial" w:cs="Arial"/>
          <w:bCs/>
          <w:sz w:val="24"/>
          <w:szCs w:val="24"/>
        </w:rPr>
        <w:t>Learning Disabilities, Autism &amp; Mental Health there is additional income from joint health claims of £4.832m</w:t>
      </w:r>
      <w:r w:rsidRPr="003C1E1D">
        <w:rPr>
          <w:rFonts w:ascii="Arial" w:hAnsi="Arial" w:cs="Arial"/>
          <w:sz w:val="24"/>
          <w:szCs w:val="24"/>
        </w:rPr>
        <w:t xml:space="preserve">. </w:t>
      </w:r>
      <w:r w:rsidRPr="003C1E1D">
        <w:rPr>
          <w:rFonts w:ascii="Arial" w:hAnsi="Arial" w:cs="Arial"/>
          <w:bCs/>
          <w:sz w:val="24"/>
          <w:szCs w:val="24"/>
        </w:rPr>
        <w:t xml:space="preserve">The issue of joint funded packages of care is an ongoing challenge which we are working with health colleagues and service users to address. </w:t>
      </w:r>
    </w:p>
    <w:p w:rsidR="00606EEB" w:rsidRPr="003C1E1D" w:rsidRDefault="00BC15A2" w:rsidP="00606EEB">
      <w:pPr>
        <w:spacing w:after="0"/>
        <w:jc w:val="both"/>
        <w:rPr>
          <w:rFonts w:ascii="Arial" w:hAnsi="Arial" w:cs="Arial"/>
          <w:bCs/>
          <w:sz w:val="24"/>
          <w:szCs w:val="24"/>
        </w:rPr>
      </w:pPr>
    </w:p>
    <w:p w:rsidR="00606EEB" w:rsidRPr="003C1E1D" w:rsidRDefault="00BC15A2" w:rsidP="00606EEB">
      <w:pPr>
        <w:spacing w:after="0"/>
        <w:jc w:val="both"/>
        <w:rPr>
          <w:rFonts w:ascii="Arial" w:hAnsi="Arial" w:cs="Arial"/>
          <w:bCs/>
          <w:sz w:val="24"/>
          <w:szCs w:val="24"/>
        </w:rPr>
      </w:pPr>
      <w:r w:rsidRPr="003C1E1D">
        <w:rPr>
          <w:rFonts w:ascii="Arial" w:hAnsi="Arial" w:cs="Arial"/>
          <w:bCs/>
          <w:sz w:val="24"/>
          <w:szCs w:val="24"/>
        </w:rPr>
        <w:t>There has been a significant increase in the number of adults in receipt of Telecare equipment with a cost of £1.</w:t>
      </w:r>
      <w:r w:rsidRPr="003C1E1D">
        <w:rPr>
          <w:rFonts w:ascii="Arial" w:hAnsi="Arial" w:cs="Arial"/>
          <w:bCs/>
          <w:sz w:val="24"/>
          <w:szCs w:val="24"/>
        </w:rPr>
        <w:t>148m, which is seen positively, but this is not as yet matched with a reduction in demand for alternative care packages. This is being evaluated in light of national benchmarking data.</w:t>
      </w:r>
    </w:p>
    <w:p w:rsidR="00606EEB" w:rsidRPr="003C1E1D" w:rsidRDefault="00BC15A2" w:rsidP="00606EEB">
      <w:pPr>
        <w:spacing w:after="0"/>
        <w:jc w:val="both"/>
        <w:rPr>
          <w:rFonts w:ascii="Arial" w:hAnsi="Arial" w:cs="Arial"/>
          <w:bCs/>
          <w:sz w:val="24"/>
          <w:szCs w:val="24"/>
        </w:rPr>
      </w:pPr>
    </w:p>
    <w:p w:rsidR="00606EEB" w:rsidRDefault="00BC15A2" w:rsidP="00606EEB">
      <w:pPr>
        <w:spacing w:after="0"/>
        <w:jc w:val="both"/>
        <w:rPr>
          <w:rFonts w:ascii="Arial" w:hAnsi="Arial" w:cs="Arial"/>
          <w:bCs/>
          <w:sz w:val="24"/>
          <w:szCs w:val="24"/>
        </w:rPr>
      </w:pPr>
      <w:r w:rsidRPr="003C1E1D">
        <w:rPr>
          <w:rFonts w:ascii="Arial" w:hAnsi="Arial" w:cs="Arial"/>
          <w:bCs/>
          <w:sz w:val="24"/>
          <w:szCs w:val="24"/>
        </w:rPr>
        <w:t>Across the remainder of the directorate there are various smaller dema</w:t>
      </w:r>
      <w:r w:rsidRPr="003C1E1D">
        <w:rPr>
          <w:rFonts w:ascii="Arial" w:hAnsi="Arial" w:cs="Arial"/>
          <w:bCs/>
          <w:sz w:val="24"/>
          <w:szCs w:val="24"/>
        </w:rPr>
        <w:t>nd led pressures of £</w:t>
      </w:r>
      <w:r>
        <w:rPr>
          <w:rFonts w:ascii="Arial" w:hAnsi="Arial" w:cs="Arial"/>
          <w:bCs/>
          <w:sz w:val="24"/>
          <w:szCs w:val="24"/>
        </w:rPr>
        <w:t>286,000.</w:t>
      </w: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Default="00BC15A2" w:rsidP="00606EEB">
      <w:pPr>
        <w:spacing w:after="0"/>
        <w:jc w:val="both"/>
        <w:rPr>
          <w:rFonts w:ascii="Arial" w:hAnsi="Arial" w:cs="Arial"/>
          <w:bCs/>
          <w:sz w:val="24"/>
          <w:szCs w:val="24"/>
        </w:rPr>
      </w:pPr>
    </w:p>
    <w:p w:rsidR="00D34F4C" w:rsidRPr="003C1E1D" w:rsidRDefault="00BC15A2" w:rsidP="00606EEB">
      <w:pPr>
        <w:spacing w:after="0"/>
        <w:jc w:val="both"/>
        <w:rPr>
          <w:rFonts w:ascii="Arial" w:hAnsi="Arial" w:cs="Arial"/>
          <w:bCs/>
          <w:sz w:val="24"/>
          <w:szCs w:val="24"/>
        </w:rPr>
      </w:pPr>
    </w:p>
    <w:p w:rsidR="00606EEB" w:rsidRDefault="00BC15A2" w:rsidP="00606EEB">
      <w:pPr>
        <w:spacing w:after="0"/>
        <w:jc w:val="both"/>
        <w:rPr>
          <w:rFonts w:ascii="Arial" w:hAnsi="Arial" w:cs="Arial"/>
          <w:bCs/>
          <w:sz w:val="24"/>
          <w:szCs w:val="24"/>
          <w:highlight w:val="yellow"/>
        </w:rPr>
      </w:pPr>
    </w:p>
    <w:p w:rsidR="00D12D70" w:rsidRPr="00606EEB" w:rsidRDefault="00BC15A2" w:rsidP="00606EEB">
      <w:pPr>
        <w:spacing w:after="0"/>
        <w:jc w:val="both"/>
        <w:rPr>
          <w:rFonts w:ascii="Arial" w:hAnsi="Arial" w:cs="Arial"/>
          <w:bCs/>
          <w:sz w:val="24"/>
          <w:szCs w:val="24"/>
          <w:highlight w:val="yellow"/>
        </w:rPr>
      </w:pPr>
    </w:p>
    <w:p w:rsidR="00606EEB" w:rsidRPr="003C1E1D" w:rsidRDefault="00BC15A2" w:rsidP="00D12D70">
      <w:pPr>
        <w:pStyle w:val="ListParagraph"/>
        <w:numPr>
          <w:ilvl w:val="0"/>
          <w:numId w:val="13"/>
        </w:numPr>
        <w:spacing w:after="0"/>
        <w:rPr>
          <w:rFonts w:ascii="Arial" w:hAnsi="Arial" w:cs="Arial"/>
          <w:b/>
          <w:sz w:val="24"/>
          <w:szCs w:val="24"/>
          <w:u w:val="single"/>
        </w:rPr>
      </w:pPr>
      <w:r w:rsidRPr="003C1E1D">
        <w:rPr>
          <w:rFonts w:ascii="Arial" w:hAnsi="Arial" w:cs="Arial"/>
          <w:b/>
          <w:sz w:val="24"/>
          <w:szCs w:val="24"/>
          <w:u w:val="single"/>
        </w:rPr>
        <w:lastRenderedPageBreak/>
        <w:t>Policy, Information and Commissioning, Quality, Contracts and Safeguarding Adults Services</w:t>
      </w:r>
    </w:p>
    <w:p w:rsidR="00606EEB" w:rsidRPr="00606EEB" w:rsidRDefault="00BC15A2" w:rsidP="00606EEB">
      <w:pPr>
        <w:spacing w:after="0"/>
        <w:rPr>
          <w:rFonts w:ascii="Arial" w:hAnsi="Arial" w:cs="Arial"/>
          <w:b/>
          <w:sz w:val="24"/>
          <w:szCs w:val="24"/>
          <w:highlight w:val="yellow"/>
          <w:u w:val="single"/>
        </w:rPr>
      </w:pPr>
    </w:p>
    <w:tbl>
      <w:tblPr>
        <w:tblW w:w="13970" w:type="dxa"/>
        <w:tblLook w:val="04A0" w:firstRow="1" w:lastRow="0" w:firstColumn="1" w:lastColumn="0" w:noHBand="0" w:noVBand="1"/>
      </w:tblPr>
      <w:tblGrid>
        <w:gridCol w:w="1758"/>
        <w:gridCol w:w="1314"/>
        <w:gridCol w:w="1314"/>
        <w:gridCol w:w="1314"/>
        <w:gridCol w:w="1103"/>
        <w:gridCol w:w="1010"/>
        <w:gridCol w:w="1010"/>
        <w:gridCol w:w="1103"/>
        <w:gridCol w:w="1011"/>
        <w:gridCol w:w="1011"/>
        <w:gridCol w:w="1011"/>
        <w:gridCol w:w="1011"/>
      </w:tblGrid>
      <w:tr w:rsidR="006A7256" w:rsidTr="00B15B9C">
        <w:trPr>
          <w:trHeight w:val="1033"/>
        </w:trPr>
        <w:tc>
          <w:tcPr>
            <w:tcW w:w="1751" w:type="dxa"/>
            <w:tcBorders>
              <w:top w:val="single" w:sz="4" w:space="0" w:color="auto"/>
              <w:left w:val="single" w:sz="4" w:space="0" w:color="auto"/>
              <w:bottom w:val="nil"/>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ADULT SERVICES AND PUBLIC HEALTH &amp; WELLBEING</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2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w:t>
            </w:r>
            <w:r w:rsidRPr="00FF0E49">
              <w:rPr>
                <w:rFonts w:ascii="Arial" w:eastAsia="Times New Roman" w:hAnsi="Arial" w:cs="Arial"/>
                <w:b/>
                <w:bCs/>
                <w:color w:val="000000"/>
                <w:sz w:val="19"/>
                <w:szCs w:val="19"/>
                <w:lang w:eastAsia="en-GB"/>
              </w:rPr>
              <w:t>iod Net Forecast Variance</w:t>
            </w:r>
          </w:p>
        </w:tc>
        <w:tc>
          <w:tcPr>
            <w:tcW w:w="102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B15B9C">
        <w:trPr>
          <w:trHeight w:val="243"/>
        </w:trPr>
        <w:tc>
          <w:tcPr>
            <w:tcW w:w="175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6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POLICY INFO    &amp; COMMISSION AGE WELL</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0.730</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0.767</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0.037</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-0.039</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-0.039</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0.730</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0.728</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-0.002</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-0.27%</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0.001</w:t>
            </w:r>
          </w:p>
        </w:tc>
      </w:tr>
      <w:tr w:rsidR="006A7256" w:rsidTr="00B15B9C">
        <w:trPr>
          <w:trHeight w:val="620"/>
        </w:trPr>
        <w:tc>
          <w:tcPr>
            <w:tcW w:w="175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POLICY  INFO    &amp; COMMISSION LIVE WELL</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0.865</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0.814</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-0.051</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-0.209</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-0.209</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0.656</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0.605</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-0.051</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-7.77%</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-0.049</w:t>
            </w:r>
          </w:p>
        </w:tc>
      </w:tr>
      <w:tr w:rsidR="006A7256" w:rsidTr="00B15B9C">
        <w:trPr>
          <w:trHeight w:val="826"/>
        </w:trPr>
        <w:tc>
          <w:tcPr>
            <w:tcW w:w="175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SAFEGUARDING &amp; QUALITY IMPROVEMENT SERVICES</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6.578</w:t>
            </w:r>
          </w:p>
        </w:tc>
        <w:tc>
          <w:tcPr>
            <w:tcW w:w="12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6.702</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0.124</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-0.548</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-0.708</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-0.160</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6.030</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5.994</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-0.036</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-0.60%</w:t>
            </w:r>
          </w:p>
        </w:tc>
        <w:tc>
          <w:tcPr>
            <w:tcW w:w="102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-0.075</w:t>
            </w:r>
          </w:p>
        </w:tc>
      </w:tr>
      <w:tr w:rsidR="006A7256" w:rsidTr="00B15B9C">
        <w:trPr>
          <w:trHeight w:val="826"/>
        </w:trPr>
        <w:tc>
          <w:tcPr>
            <w:tcW w:w="1751"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w:t>
            </w:r>
            <w:r w:rsidRPr="00FF0E49">
              <w:rPr>
                <w:rFonts w:ascii="Arial" w:eastAsia="Times New Roman" w:hAnsi="Arial" w:cs="Arial"/>
                <w:b/>
                <w:bCs/>
                <w:color w:val="000000"/>
                <w:sz w:val="19"/>
                <w:szCs w:val="19"/>
                <w:lang w:eastAsia="en-GB"/>
              </w:rPr>
              <w:br/>
              <w:t>ADULT SERVICES AND PUBLIC HEALTH &amp; WELLBEING</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8.173</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8.283</w:t>
            </w:r>
          </w:p>
        </w:tc>
        <w:tc>
          <w:tcPr>
            <w:tcW w:w="12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0.110</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-0.757</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-0.956</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-0.199</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7.416</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7.327</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-0.089</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-1.20%</w:t>
            </w:r>
          </w:p>
        </w:tc>
        <w:tc>
          <w:tcPr>
            <w:tcW w:w="102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-0.123</w:t>
            </w:r>
          </w:p>
        </w:tc>
      </w:tr>
    </w:tbl>
    <w:p w:rsidR="006F46DC" w:rsidRPr="00606EEB" w:rsidRDefault="00BC15A2" w:rsidP="00606EEB">
      <w:pPr>
        <w:spacing w:after="0"/>
        <w:rPr>
          <w:rFonts w:ascii="Arial" w:hAnsi="Arial" w:cs="Arial"/>
          <w:b/>
          <w:sz w:val="24"/>
          <w:szCs w:val="24"/>
          <w:highlight w:val="yellow"/>
          <w:u w:val="single"/>
        </w:rPr>
      </w:pPr>
    </w:p>
    <w:p w:rsidR="00606EEB" w:rsidRPr="00027C2D" w:rsidRDefault="00BC15A2" w:rsidP="00606EEB">
      <w:pPr>
        <w:tabs>
          <w:tab w:val="left" w:pos="851"/>
          <w:tab w:val="left" w:pos="1418"/>
        </w:tabs>
        <w:spacing w:after="0"/>
        <w:rPr>
          <w:rFonts w:ascii="Arial" w:hAnsi="Arial" w:cs="Arial"/>
          <w:b/>
          <w:sz w:val="24"/>
          <w:szCs w:val="24"/>
        </w:rPr>
      </w:pPr>
      <w:r w:rsidRPr="00027C2D">
        <w:rPr>
          <w:rFonts w:ascii="Arial" w:hAnsi="Arial" w:cs="Arial"/>
          <w:b/>
          <w:sz w:val="24"/>
          <w:szCs w:val="24"/>
        </w:rPr>
        <w:t xml:space="preserve">Policy, Information and Commissioning, Quality, Contracts and Safeguarding Adults Services – forecast underspend £89,000 </w:t>
      </w:r>
    </w:p>
    <w:p w:rsidR="00606EEB" w:rsidRPr="00027C2D" w:rsidRDefault="00BC15A2" w:rsidP="00606EEB">
      <w:pPr>
        <w:tabs>
          <w:tab w:val="left" w:pos="851"/>
          <w:tab w:val="left" w:pos="1418"/>
        </w:tabs>
        <w:spacing w:after="0"/>
        <w:jc w:val="both"/>
        <w:rPr>
          <w:rFonts w:ascii="Arial" w:hAnsi="Arial" w:cs="Arial"/>
          <w:sz w:val="24"/>
          <w:szCs w:val="24"/>
        </w:rPr>
      </w:pPr>
      <w:r w:rsidRPr="00027C2D">
        <w:rPr>
          <w:rFonts w:ascii="Arial" w:hAnsi="Arial" w:cs="Arial"/>
          <w:sz w:val="24"/>
          <w:szCs w:val="24"/>
        </w:rPr>
        <w:t xml:space="preserve">The underspend position is due to an increased volume of referrals into the safeguarding enquiry service </w:t>
      </w:r>
      <w:r w:rsidRPr="00027C2D">
        <w:rPr>
          <w:rFonts w:ascii="Arial" w:hAnsi="Arial" w:cs="Arial"/>
          <w:sz w:val="24"/>
          <w:szCs w:val="24"/>
        </w:rPr>
        <w:t>via multi agency safeguarding hub (MASH) which resulted in some additional temporary resource costs to clear the backlog whilst more fundamental changes are made to service processes, this pressure is being offset by a non-recurring staff secondment and th</w:t>
      </w:r>
      <w:r w:rsidRPr="00027C2D">
        <w:rPr>
          <w:rFonts w:ascii="Arial" w:hAnsi="Arial" w:cs="Arial"/>
          <w:sz w:val="24"/>
          <w:szCs w:val="24"/>
        </w:rPr>
        <w:t>e availability of winter pressures money of £177,000.</w:t>
      </w:r>
    </w:p>
    <w:p w:rsidR="00606EEB" w:rsidRPr="00606EEB" w:rsidRDefault="00BC15A2" w:rsidP="00D12D70">
      <w:pPr>
        <w:rPr>
          <w:rFonts w:ascii="Arial" w:hAnsi="Arial" w:cs="Arial"/>
          <w:sz w:val="24"/>
          <w:szCs w:val="24"/>
          <w:highlight w:val="yellow"/>
        </w:rPr>
      </w:pPr>
      <w:r>
        <w:rPr>
          <w:rFonts w:ascii="Arial" w:hAnsi="Arial" w:cs="Arial"/>
          <w:sz w:val="24"/>
          <w:szCs w:val="24"/>
          <w:highlight w:val="yellow"/>
        </w:rPr>
        <w:br w:type="page"/>
      </w:r>
    </w:p>
    <w:p w:rsidR="00606EEB" w:rsidRPr="008A6E21" w:rsidRDefault="00BC15A2" w:rsidP="00D12D70">
      <w:pPr>
        <w:pStyle w:val="ListParagraph"/>
        <w:numPr>
          <w:ilvl w:val="0"/>
          <w:numId w:val="13"/>
        </w:numPr>
        <w:spacing w:after="0"/>
        <w:rPr>
          <w:rFonts w:ascii="Arial" w:hAnsi="Arial" w:cs="Arial"/>
          <w:b/>
          <w:sz w:val="24"/>
          <w:szCs w:val="24"/>
          <w:u w:val="single"/>
        </w:rPr>
      </w:pPr>
      <w:r w:rsidRPr="008A6E21">
        <w:rPr>
          <w:rFonts w:ascii="Arial" w:hAnsi="Arial" w:cs="Arial"/>
          <w:b/>
          <w:sz w:val="24"/>
          <w:szCs w:val="24"/>
          <w:u w:val="single"/>
        </w:rPr>
        <w:lastRenderedPageBreak/>
        <w:t xml:space="preserve">Public Health &amp; Wellbeing </w:t>
      </w:r>
    </w:p>
    <w:p w:rsidR="00606EEB" w:rsidRPr="00606EEB" w:rsidRDefault="00BC15A2" w:rsidP="00606EEB">
      <w:pPr>
        <w:pStyle w:val="ListParagraph"/>
        <w:spacing w:after="0"/>
        <w:ind w:left="-284"/>
        <w:rPr>
          <w:rFonts w:ascii="Arial" w:hAnsi="Arial" w:cs="Arial"/>
          <w:b/>
          <w:sz w:val="24"/>
          <w:szCs w:val="24"/>
          <w:highlight w:val="yellow"/>
          <w:u w:val="single"/>
        </w:rPr>
      </w:pPr>
    </w:p>
    <w:tbl>
      <w:tblPr>
        <w:tblW w:w="13897" w:type="dxa"/>
        <w:tblLook w:val="04A0" w:firstRow="1" w:lastRow="0" w:firstColumn="1" w:lastColumn="0" w:noHBand="0" w:noVBand="1"/>
      </w:tblPr>
      <w:tblGrid>
        <w:gridCol w:w="1705"/>
        <w:gridCol w:w="1314"/>
        <w:gridCol w:w="1314"/>
        <w:gridCol w:w="1314"/>
        <w:gridCol w:w="1103"/>
        <w:gridCol w:w="1009"/>
        <w:gridCol w:w="1009"/>
        <w:gridCol w:w="1103"/>
        <w:gridCol w:w="1009"/>
        <w:gridCol w:w="1009"/>
        <w:gridCol w:w="1009"/>
        <w:gridCol w:w="1009"/>
      </w:tblGrid>
      <w:tr w:rsidR="006A7256" w:rsidTr="00B15B9C">
        <w:trPr>
          <w:trHeight w:val="1019"/>
        </w:trPr>
        <w:tc>
          <w:tcPr>
            <w:tcW w:w="1708" w:type="dxa"/>
            <w:tcBorders>
              <w:top w:val="single" w:sz="4" w:space="0" w:color="auto"/>
              <w:left w:val="single" w:sz="4" w:space="0" w:color="auto"/>
              <w:bottom w:val="nil"/>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PUBLIC HEALTH &amp; WELLBEING</w:t>
            </w:r>
          </w:p>
        </w:tc>
        <w:tc>
          <w:tcPr>
            <w:tcW w:w="1291"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291"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291"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089"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023" w:type="dxa"/>
            <w:tcBorders>
              <w:top w:val="single" w:sz="4" w:space="0" w:color="auto"/>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B15B9C">
        <w:trPr>
          <w:trHeight w:val="239"/>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407"/>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PUBLIC HEALTH &amp; WELLBEING</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0.767</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0.806</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0.039</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-66.870</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-66.872</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-0.002</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-66.103</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-66.066</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0.037</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0.034</w:t>
            </w:r>
          </w:p>
        </w:tc>
      </w:tr>
      <w:tr w:rsidR="006A7256" w:rsidTr="00B15B9C">
        <w:trPr>
          <w:trHeight w:val="611"/>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HEALTH EQUITY WELFARE &amp; PARTNERSHIPS</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63.851</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64.230</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0.379</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-2.082</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-2.528</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-0.446</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61.769</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61.702</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-0.067</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-0.11%</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0.197</w:t>
            </w:r>
          </w:p>
        </w:tc>
      </w:tr>
      <w:tr w:rsidR="006A7256" w:rsidTr="00B15B9C">
        <w:trPr>
          <w:trHeight w:val="407"/>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Health, Safety &amp; Resilience</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1.834</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1.992</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0.158</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-1.202</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-1.623</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-0.421</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0.632</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0.369</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-0.263</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-41.61%</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-0.228</w:t>
            </w:r>
          </w:p>
        </w:tc>
      </w:tr>
      <w:tr w:rsidR="006A7256" w:rsidTr="00B15B9C">
        <w:trPr>
          <w:trHeight w:val="815"/>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TRADING STANDARDS &amp; SCIENTIFIC SERVICES</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4.842</w:t>
            </w:r>
          </w:p>
        </w:tc>
        <w:tc>
          <w:tcPr>
            <w:tcW w:w="1291"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4.825</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-0.017</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-1.625</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-1.393</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0.232</w:t>
            </w:r>
          </w:p>
        </w:tc>
        <w:tc>
          <w:tcPr>
            <w:tcW w:w="1089"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3.217</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3.432</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0.215</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6.68%</w:t>
            </w:r>
          </w:p>
        </w:tc>
        <w:tc>
          <w:tcPr>
            <w:tcW w:w="1023" w:type="dxa"/>
            <w:tcBorders>
              <w:top w:val="nil"/>
              <w:left w:val="nil"/>
              <w:bottom w:val="single" w:sz="4" w:space="0" w:color="auto"/>
              <w:right w:val="single" w:sz="4" w:space="0" w:color="auto"/>
            </w:tcBorders>
            <w:shd w:val="clear" w:color="auto" w:fill="auto"/>
            <w:vAlign w:val="center"/>
            <w:hideMark/>
          </w:tcPr>
          <w:p w:rsidR="00DD35BD" w:rsidRPr="00FF0E49" w:rsidRDefault="00BC15A2" w:rsidP="00DD35BD">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0.198</w:t>
            </w:r>
          </w:p>
        </w:tc>
      </w:tr>
      <w:tr w:rsidR="006A7256" w:rsidTr="00B15B9C">
        <w:trPr>
          <w:trHeight w:val="611"/>
        </w:trPr>
        <w:tc>
          <w:tcPr>
            <w:tcW w:w="1708" w:type="dxa"/>
            <w:tcBorders>
              <w:top w:val="nil"/>
              <w:left w:val="single" w:sz="4" w:space="0" w:color="auto"/>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PUBLIC HEALTH &amp; WELLBEING</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71.294</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71.853</w:t>
            </w:r>
          </w:p>
        </w:tc>
        <w:tc>
          <w:tcPr>
            <w:tcW w:w="1291"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0.559</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-71.779</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-72.416</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-0.637</w:t>
            </w:r>
          </w:p>
        </w:tc>
        <w:tc>
          <w:tcPr>
            <w:tcW w:w="1089"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-0.485</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-0.563</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-0.078</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-16.08%</w:t>
            </w:r>
          </w:p>
        </w:tc>
        <w:tc>
          <w:tcPr>
            <w:tcW w:w="1023" w:type="dxa"/>
            <w:tcBorders>
              <w:top w:val="nil"/>
              <w:left w:val="nil"/>
              <w:bottom w:val="single" w:sz="4" w:space="0" w:color="auto"/>
              <w:right w:val="single" w:sz="4" w:space="0" w:color="auto"/>
            </w:tcBorders>
            <w:shd w:val="clear" w:color="000000" w:fill="D9D9D9"/>
            <w:vAlign w:val="center"/>
            <w:hideMark/>
          </w:tcPr>
          <w:p w:rsidR="00DD35BD" w:rsidRPr="00FF0E49" w:rsidRDefault="00BC15A2" w:rsidP="00DD35BD">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0.201</w:t>
            </w:r>
          </w:p>
        </w:tc>
      </w:tr>
    </w:tbl>
    <w:p w:rsidR="00D217D0" w:rsidRPr="00606EEB" w:rsidRDefault="00BC15A2" w:rsidP="00606EEB">
      <w:pPr>
        <w:spacing w:after="0"/>
        <w:rPr>
          <w:rFonts w:ascii="Arial" w:hAnsi="Arial" w:cs="Arial"/>
          <w:b/>
          <w:sz w:val="24"/>
          <w:szCs w:val="24"/>
          <w:highlight w:val="yellow"/>
          <w:u w:val="single"/>
        </w:rPr>
      </w:pPr>
    </w:p>
    <w:p w:rsidR="00606EEB" w:rsidRPr="00027C2D" w:rsidRDefault="00BC15A2" w:rsidP="00606EEB">
      <w:pPr>
        <w:spacing w:after="0"/>
        <w:rPr>
          <w:rFonts w:ascii="Arial" w:hAnsi="Arial" w:cs="Arial"/>
          <w:b/>
          <w:sz w:val="24"/>
          <w:szCs w:val="24"/>
        </w:rPr>
      </w:pPr>
      <w:r w:rsidRPr="00027C2D">
        <w:rPr>
          <w:rFonts w:ascii="Arial" w:hAnsi="Arial" w:cs="Arial"/>
          <w:b/>
          <w:sz w:val="24"/>
          <w:szCs w:val="24"/>
        </w:rPr>
        <w:t>Public Health and Wellbeing – forecast underspend £78,000</w:t>
      </w:r>
    </w:p>
    <w:p w:rsidR="00606EEB" w:rsidRPr="00690FF8" w:rsidRDefault="00BC15A2" w:rsidP="00606EEB">
      <w:pPr>
        <w:tabs>
          <w:tab w:val="left" w:pos="851"/>
          <w:tab w:val="left" w:pos="1418"/>
        </w:tabs>
        <w:spacing w:after="0"/>
        <w:jc w:val="both"/>
        <w:rPr>
          <w:rFonts w:ascii="Arial" w:hAnsi="Arial" w:cs="Arial"/>
          <w:sz w:val="24"/>
          <w:szCs w:val="24"/>
        </w:rPr>
      </w:pPr>
      <w:r>
        <w:rPr>
          <w:rFonts w:ascii="Arial" w:hAnsi="Arial" w:cs="Arial"/>
          <w:sz w:val="24"/>
          <w:szCs w:val="24"/>
        </w:rPr>
        <w:t>A</w:t>
      </w:r>
      <w:r w:rsidRPr="00690FF8">
        <w:rPr>
          <w:rFonts w:ascii="Arial" w:hAnsi="Arial" w:cs="Arial"/>
          <w:sz w:val="24"/>
          <w:szCs w:val="24"/>
        </w:rPr>
        <w:t xml:space="preserve"> small underspend position is forecast across the health, equity and welfare &amp; partnerships Team. This forecast position represents a number of variances </w:t>
      </w:r>
      <w:r w:rsidRPr="00690FF8">
        <w:rPr>
          <w:rFonts w:ascii="Arial" w:hAnsi="Arial" w:cs="Arial"/>
          <w:sz w:val="24"/>
          <w:szCs w:val="24"/>
        </w:rPr>
        <w:t>projected across different elements of the service. A particular area of pressure £450,000 relates to sexual health contracts, as demand continues to increase on tariff based arrangements. There are also additional demand pressures on out of area recharges</w:t>
      </w:r>
      <w:r w:rsidRPr="00690FF8">
        <w:rPr>
          <w:rFonts w:ascii="Arial" w:hAnsi="Arial" w:cs="Arial"/>
          <w:sz w:val="24"/>
          <w:szCs w:val="24"/>
        </w:rPr>
        <w:t xml:space="preserve"> for sexual health of £300,000. The in-year pressures have been off-set by other service area underspends on contracts and service areas of £517,000. In addition the service is forecast to underspend on staffing by £300,000 due to vacancy levels. Health sa</w:t>
      </w:r>
      <w:r w:rsidRPr="00690FF8">
        <w:rPr>
          <w:rFonts w:ascii="Arial" w:hAnsi="Arial" w:cs="Arial"/>
          <w:sz w:val="24"/>
          <w:szCs w:val="24"/>
        </w:rPr>
        <w:t xml:space="preserve">fety &amp; resilience is forecast to underspend by £263,000 due to overachievement of health and safety income and underspends on operational costs. </w:t>
      </w:r>
    </w:p>
    <w:p w:rsidR="00D34F4C" w:rsidRDefault="00BC15A2" w:rsidP="00606EEB">
      <w:pPr>
        <w:tabs>
          <w:tab w:val="left" w:pos="851"/>
          <w:tab w:val="left" w:pos="1418"/>
        </w:tabs>
        <w:spacing w:after="0"/>
        <w:jc w:val="both"/>
        <w:rPr>
          <w:rFonts w:ascii="Arial" w:hAnsi="Arial" w:cs="Arial"/>
          <w:sz w:val="24"/>
          <w:szCs w:val="24"/>
        </w:rPr>
      </w:pPr>
    </w:p>
    <w:p w:rsidR="00606EEB" w:rsidRPr="00690FF8" w:rsidRDefault="00BC15A2" w:rsidP="00606EEB">
      <w:pPr>
        <w:tabs>
          <w:tab w:val="left" w:pos="851"/>
          <w:tab w:val="left" w:pos="1418"/>
        </w:tabs>
        <w:spacing w:after="0"/>
        <w:jc w:val="both"/>
        <w:rPr>
          <w:rFonts w:ascii="Arial" w:hAnsi="Arial" w:cs="Arial"/>
          <w:sz w:val="24"/>
          <w:szCs w:val="24"/>
        </w:rPr>
      </w:pPr>
      <w:r w:rsidRPr="00690FF8">
        <w:rPr>
          <w:rFonts w:ascii="Arial" w:hAnsi="Arial" w:cs="Arial"/>
          <w:sz w:val="24"/>
          <w:szCs w:val="24"/>
        </w:rPr>
        <w:t>There is an overspend forecast trading standards &amp; scientific services of £215,000 largely as a result of cos</w:t>
      </w:r>
      <w:r w:rsidRPr="00690FF8">
        <w:rPr>
          <w:rFonts w:ascii="Arial" w:hAnsi="Arial" w:cs="Arial"/>
          <w:sz w:val="24"/>
          <w:szCs w:val="24"/>
        </w:rPr>
        <w:t>t pressures in scientific services and under achieved income in trading standards.</w:t>
      </w:r>
    </w:p>
    <w:p w:rsidR="008A6E21" w:rsidRPr="00606EEB" w:rsidRDefault="00BC15A2" w:rsidP="001D3104">
      <w:pPr>
        <w:rPr>
          <w:rFonts w:ascii="Arial" w:hAnsi="Arial" w:cs="Arial"/>
          <w:sz w:val="24"/>
          <w:szCs w:val="24"/>
          <w:highlight w:val="yellow"/>
        </w:rPr>
      </w:pPr>
    </w:p>
    <w:p w:rsidR="00606EEB" w:rsidRPr="00637ED2" w:rsidRDefault="00BC15A2" w:rsidP="00D12D70">
      <w:pPr>
        <w:pStyle w:val="ListParagraph"/>
        <w:numPr>
          <w:ilvl w:val="0"/>
          <w:numId w:val="13"/>
        </w:numPr>
        <w:spacing w:after="0" w:line="240" w:lineRule="auto"/>
        <w:rPr>
          <w:rFonts w:ascii="Arial" w:hAnsi="Arial" w:cs="Arial"/>
          <w:b/>
          <w:sz w:val="24"/>
          <w:szCs w:val="24"/>
        </w:rPr>
      </w:pPr>
      <w:r w:rsidRPr="00637ED2">
        <w:rPr>
          <w:rFonts w:ascii="Arial" w:hAnsi="Arial" w:cs="Arial"/>
          <w:b/>
          <w:sz w:val="24"/>
          <w:szCs w:val="24"/>
          <w:u w:val="single"/>
        </w:rPr>
        <w:lastRenderedPageBreak/>
        <w:t xml:space="preserve">Education and Children's Services </w:t>
      </w:r>
    </w:p>
    <w:p w:rsidR="00606EEB" w:rsidRPr="00606EEB" w:rsidRDefault="00BC15A2" w:rsidP="00606EEB">
      <w:pPr>
        <w:spacing w:after="0" w:line="240" w:lineRule="auto"/>
        <w:contextualSpacing/>
        <w:rPr>
          <w:rFonts w:ascii="Arial" w:hAnsi="Arial" w:cs="Arial"/>
          <w:b/>
          <w:sz w:val="24"/>
          <w:szCs w:val="24"/>
          <w:highlight w:val="yellow"/>
        </w:rPr>
      </w:pPr>
    </w:p>
    <w:tbl>
      <w:tblPr>
        <w:tblW w:w="14408" w:type="dxa"/>
        <w:tblLook w:val="04A0" w:firstRow="1" w:lastRow="0" w:firstColumn="1" w:lastColumn="0" w:noHBand="0" w:noVBand="1"/>
      </w:tblPr>
      <w:tblGrid>
        <w:gridCol w:w="2177"/>
        <w:gridCol w:w="1314"/>
        <w:gridCol w:w="1314"/>
        <w:gridCol w:w="1314"/>
        <w:gridCol w:w="1103"/>
        <w:gridCol w:w="1013"/>
        <w:gridCol w:w="1014"/>
        <w:gridCol w:w="1103"/>
        <w:gridCol w:w="1014"/>
        <w:gridCol w:w="1014"/>
        <w:gridCol w:w="1014"/>
        <w:gridCol w:w="1014"/>
      </w:tblGrid>
      <w:tr w:rsidR="006A7256" w:rsidTr="00B15B9C">
        <w:trPr>
          <w:trHeight w:val="1135"/>
        </w:trPr>
        <w:tc>
          <w:tcPr>
            <w:tcW w:w="2209" w:type="dxa"/>
            <w:tcBorders>
              <w:top w:val="single" w:sz="4" w:space="0" w:color="auto"/>
              <w:left w:val="single" w:sz="4" w:space="0" w:color="auto"/>
              <w:bottom w:val="nil"/>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EDUCATION AND CHILDREN'S SERVICES</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w:t>
            </w:r>
            <w:r w:rsidRPr="00FF0E49">
              <w:rPr>
                <w:rFonts w:ascii="Arial" w:eastAsia="Times New Roman" w:hAnsi="Arial" w:cs="Arial"/>
                <w:b/>
                <w:bCs/>
                <w:color w:val="000000"/>
                <w:sz w:val="19"/>
                <w:szCs w:val="19"/>
                <w:lang w:eastAsia="en-GB"/>
              </w:rPr>
              <w:t>Forecast Variance</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w:t>
            </w:r>
            <w:r w:rsidRPr="00FF0E49">
              <w:rPr>
                <w:rFonts w:ascii="Arial" w:eastAsia="Times New Roman" w:hAnsi="Arial" w:cs="Arial"/>
                <w:b/>
                <w:bCs/>
                <w:color w:val="000000"/>
                <w:sz w:val="19"/>
                <w:szCs w:val="19"/>
                <w:lang w:eastAsia="en-GB"/>
              </w:rPr>
              <w:t>2 Variance</w:t>
            </w:r>
          </w:p>
        </w:tc>
      </w:tr>
      <w:tr w:rsidR="006A7256" w:rsidTr="00B15B9C">
        <w:trPr>
          <w:trHeight w:val="306"/>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520"/>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CHILDREN SOCIAL CARE LOCALITIES</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108.408</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112.178</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3.770</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-6.671</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-7.170</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-0.499</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101.737</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105.008</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3.271</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2.921</w:t>
            </w:r>
          </w:p>
        </w:tc>
      </w:tr>
      <w:tr w:rsidR="006A7256" w:rsidTr="00B15B9C">
        <w:trPr>
          <w:trHeight w:val="840"/>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FOSTERING ADOPTION RESIDENTIAL AND YOT</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33.090</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35.650</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2.560</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-2.402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-3.180</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-0.778</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30.688</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32.470</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1.782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5.81%</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1.807</w:t>
            </w:r>
          </w:p>
        </w:tc>
      </w:tr>
      <w:tr w:rsidR="006A7256" w:rsidTr="00B15B9C">
        <w:trPr>
          <w:trHeight w:val="520"/>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SAFEGUARDING INSPEC   &amp; AUDIT</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12.990</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12.529</w:t>
            </w:r>
          </w:p>
        </w:tc>
        <w:tc>
          <w:tcPr>
            <w:tcW w:w="1307" w:type="dxa"/>
            <w:tcBorders>
              <w:top w:val="nil"/>
              <w:left w:val="nil"/>
              <w:bottom w:val="nil"/>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-0.461</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-0.997</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-1.028</w:t>
            </w:r>
          </w:p>
        </w:tc>
        <w:tc>
          <w:tcPr>
            <w:tcW w:w="1014" w:type="dxa"/>
            <w:tcBorders>
              <w:top w:val="nil"/>
              <w:left w:val="nil"/>
              <w:bottom w:val="nil"/>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-0.031</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11.993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11.501</w:t>
            </w:r>
          </w:p>
        </w:tc>
        <w:tc>
          <w:tcPr>
            <w:tcW w:w="1014" w:type="dxa"/>
            <w:tcBorders>
              <w:top w:val="nil"/>
              <w:left w:val="nil"/>
              <w:bottom w:val="nil"/>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-0.492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-4.10%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-0.389</w:t>
            </w:r>
          </w:p>
        </w:tc>
      </w:tr>
      <w:tr w:rsidR="006A7256" w:rsidTr="00B15B9C">
        <w:trPr>
          <w:trHeight w:val="611"/>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CHILDREN AND FAMILY WELLBEING SERVICE</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18.888</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17.124</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-1.764</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-3.276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-4.488</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-1.212</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15.612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12.636</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-2.976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-19.06%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-2.917</w:t>
            </w:r>
          </w:p>
        </w:tc>
      </w:tr>
      <w:tr w:rsidR="006A7256" w:rsidTr="00B15B9C">
        <w:trPr>
          <w:trHeight w:val="664"/>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EDUCATION IMPROVEMENT 0 - 11 YEARS</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14.588</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14.845</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0.257</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-11.922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-11.479</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0.443</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2.666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3.366</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0.700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26.26%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0.510</w:t>
            </w:r>
          </w:p>
        </w:tc>
      </w:tr>
      <w:tr w:rsidR="006A7256" w:rsidTr="00B15B9C">
        <w:trPr>
          <w:trHeight w:val="670"/>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EDUCATION IMPROVEMENT 11+ - 25 YEARS</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4.395</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3.358</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-1.037</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-1.534</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-0.972</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0.562</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2.861</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2.386</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-0.475</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-16.60%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-0.255</w:t>
            </w:r>
          </w:p>
        </w:tc>
      </w:tr>
      <w:tr w:rsidR="006A7256" w:rsidTr="00B15B9C">
        <w:trPr>
          <w:trHeight w:val="306"/>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INCLUSION</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22.523</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24.562</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2.039</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-5.830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-5.689</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0.141</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16.693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18.873</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2.180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13.06%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2.485</w:t>
            </w:r>
          </w:p>
        </w:tc>
      </w:tr>
      <w:tr w:rsidR="006A7256" w:rsidTr="00B15B9C">
        <w:trPr>
          <w:trHeight w:val="592"/>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LIBRARIES MUSEUMS CULTURE &amp; ARCHIVES</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17.842</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16.744</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-1.098</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-9.053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-8.308</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0.745</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8.789</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8.436</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-0.353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-4.02%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-0.499</w:t>
            </w:r>
          </w:p>
        </w:tc>
      </w:tr>
      <w:tr w:rsidR="006A7256" w:rsidTr="00B15B9C">
        <w:trPr>
          <w:trHeight w:val="412"/>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POLICY INFO  &amp; COMMISSION START WELL</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1.524</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5.068</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3.544</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-0.622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-4.136</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-3.514</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0.902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0.932</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0.030</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0.030</w:t>
            </w:r>
          </w:p>
        </w:tc>
      </w:tr>
      <w:tr w:rsidR="006A7256" w:rsidTr="00B15B9C">
        <w:trPr>
          <w:trHeight w:val="1044"/>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EDUCATION &amp; CHILDREN'S SERVICES CENTRAL COSTS</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2.970</w:t>
            </w:r>
          </w:p>
        </w:tc>
        <w:tc>
          <w:tcPr>
            <w:tcW w:w="130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2.247</w:t>
            </w:r>
          </w:p>
        </w:tc>
        <w:tc>
          <w:tcPr>
            <w:tcW w:w="1307" w:type="dxa"/>
            <w:tcBorders>
              <w:top w:val="nil"/>
              <w:left w:val="nil"/>
              <w:bottom w:val="nil"/>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-0.723</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-4.376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-3.836</w:t>
            </w:r>
          </w:p>
        </w:tc>
        <w:tc>
          <w:tcPr>
            <w:tcW w:w="1014" w:type="dxa"/>
            <w:tcBorders>
              <w:top w:val="nil"/>
              <w:left w:val="nil"/>
              <w:bottom w:val="nil"/>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0.540</w:t>
            </w:r>
          </w:p>
        </w:tc>
        <w:tc>
          <w:tcPr>
            <w:tcW w:w="1097"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-1.406</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-1.589</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-0.183</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-13.02%</w:t>
            </w:r>
          </w:p>
        </w:tc>
        <w:tc>
          <w:tcPr>
            <w:tcW w:w="1014" w:type="dxa"/>
            <w:tcBorders>
              <w:top w:val="nil"/>
              <w:left w:val="nil"/>
              <w:bottom w:val="single" w:sz="4" w:space="0" w:color="auto"/>
              <w:right w:val="single" w:sz="4" w:space="0" w:color="auto"/>
            </w:tcBorders>
            <w:shd w:val="clear" w:color="auto" w:fill="auto"/>
            <w:vAlign w:val="center"/>
            <w:hideMark/>
          </w:tcPr>
          <w:p w:rsidR="001D3104" w:rsidRPr="00FF0E49" w:rsidRDefault="00BC15A2" w:rsidP="001D3104">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-0.158</w:t>
            </w:r>
          </w:p>
        </w:tc>
      </w:tr>
      <w:tr w:rsidR="006A7256" w:rsidTr="00B15B9C">
        <w:trPr>
          <w:trHeight w:val="423"/>
        </w:trPr>
        <w:tc>
          <w:tcPr>
            <w:tcW w:w="2209" w:type="dxa"/>
            <w:tcBorders>
              <w:top w:val="nil"/>
              <w:left w:val="single" w:sz="4" w:space="0" w:color="auto"/>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EDUCATION AND CHILDRENS SERVICES</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237.218</w:t>
            </w:r>
          </w:p>
        </w:tc>
        <w:tc>
          <w:tcPr>
            <w:tcW w:w="130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244.305</w:t>
            </w:r>
          </w:p>
        </w:tc>
        <w:tc>
          <w:tcPr>
            <w:tcW w:w="1307"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7.087</w:t>
            </w:r>
          </w:p>
        </w:tc>
        <w:tc>
          <w:tcPr>
            <w:tcW w:w="109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-46.683</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-50.286</w:t>
            </w:r>
          </w:p>
        </w:tc>
        <w:tc>
          <w:tcPr>
            <w:tcW w:w="1014" w:type="dxa"/>
            <w:tcBorders>
              <w:top w:val="single" w:sz="4" w:space="0" w:color="auto"/>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-3.603</w:t>
            </w:r>
          </w:p>
        </w:tc>
        <w:tc>
          <w:tcPr>
            <w:tcW w:w="1097"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190.535</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194.019</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3.484</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1.83%</w:t>
            </w:r>
          </w:p>
        </w:tc>
        <w:tc>
          <w:tcPr>
            <w:tcW w:w="1014" w:type="dxa"/>
            <w:tcBorders>
              <w:top w:val="nil"/>
              <w:left w:val="nil"/>
              <w:bottom w:val="single" w:sz="4" w:space="0" w:color="auto"/>
              <w:right w:val="single" w:sz="4" w:space="0" w:color="auto"/>
            </w:tcBorders>
            <w:shd w:val="clear" w:color="000000" w:fill="D9D9D9"/>
            <w:vAlign w:val="center"/>
            <w:hideMark/>
          </w:tcPr>
          <w:p w:rsidR="001D3104" w:rsidRPr="00FF0E49" w:rsidRDefault="00BC15A2" w:rsidP="001D3104">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3.535</w:t>
            </w:r>
          </w:p>
        </w:tc>
      </w:tr>
    </w:tbl>
    <w:p w:rsidR="008A6E21" w:rsidRDefault="00BC15A2" w:rsidP="00606EEB">
      <w:pPr>
        <w:ind w:left="855" w:hanging="855"/>
        <w:contextualSpacing/>
        <w:rPr>
          <w:rFonts w:ascii="Arial" w:hAnsi="Arial" w:cs="Arial"/>
          <w:b/>
          <w:bCs/>
          <w:sz w:val="24"/>
          <w:szCs w:val="24"/>
          <w:highlight w:val="yellow"/>
        </w:rPr>
      </w:pPr>
    </w:p>
    <w:p w:rsidR="00D217D0" w:rsidRDefault="00BC15A2" w:rsidP="00606EEB">
      <w:pPr>
        <w:ind w:left="855" w:hanging="855"/>
        <w:contextualSpacing/>
        <w:rPr>
          <w:rFonts w:ascii="Arial" w:hAnsi="Arial" w:cs="Arial"/>
          <w:b/>
          <w:bCs/>
          <w:sz w:val="24"/>
          <w:szCs w:val="24"/>
          <w:highlight w:val="yellow"/>
        </w:rPr>
      </w:pPr>
    </w:p>
    <w:p w:rsidR="00606EEB" w:rsidRPr="00637ED2" w:rsidRDefault="00BC15A2" w:rsidP="00606EEB">
      <w:pPr>
        <w:ind w:left="855" w:hanging="855"/>
        <w:contextualSpacing/>
        <w:rPr>
          <w:rFonts w:ascii="Arial" w:hAnsi="Arial" w:cs="Arial"/>
          <w:b/>
          <w:bCs/>
          <w:sz w:val="24"/>
          <w:szCs w:val="24"/>
        </w:rPr>
      </w:pPr>
      <w:r w:rsidRPr="00637ED2">
        <w:rPr>
          <w:rFonts w:ascii="Arial" w:hAnsi="Arial" w:cs="Arial"/>
          <w:b/>
          <w:bCs/>
          <w:sz w:val="24"/>
          <w:szCs w:val="24"/>
        </w:rPr>
        <w:t>Education and Children's Services – forecast overspend £3.484m</w:t>
      </w:r>
    </w:p>
    <w:p w:rsidR="00606EEB" w:rsidRPr="00637ED2" w:rsidRDefault="00BC15A2" w:rsidP="00606EEB">
      <w:pPr>
        <w:ind w:left="855" w:hanging="855"/>
        <w:contextualSpacing/>
        <w:rPr>
          <w:rFonts w:ascii="Arial" w:hAnsi="Arial" w:cs="Arial"/>
          <w:b/>
          <w:bCs/>
          <w:sz w:val="24"/>
          <w:szCs w:val="24"/>
        </w:rPr>
      </w:pPr>
    </w:p>
    <w:p w:rsidR="00606EEB" w:rsidRPr="00637ED2" w:rsidRDefault="00BC15A2" w:rsidP="00606EEB">
      <w:pPr>
        <w:ind w:left="855" w:hanging="855"/>
        <w:contextualSpacing/>
        <w:rPr>
          <w:rFonts w:ascii="Arial" w:hAnsi="Arial" w:cs="Arial"/>
          <w:b/>
          <w:bCs/>
          <w:sz w:val="24"/>
          <w:szCs w:val="24"/>
        </w:rPr>
      </w:pPr>
      <w:r w:rsidRPr="00637ED2">
        <w:rPr>
          <w:rFonts w:ascii="Arial" w:hAnsi="Arial" w:cs="Arial"/>
          <w:b/>
          <w:bCs/>
          <w:sz w:val="24"/>
          <w:szCs w:val="24"/>
        </w:rPr>
        <w:t xml:space="preserve">Children's Social Care Localities – </w:t>
      </w:r>
      <w:r w:rsidRPr="00637ED2">
        <w:rPr>
          <w:rFonts w:ascii="Arial" w:hAnsi="Arial" w:cs="Arial"/>
          <w:b/>
          <w:bCs/>
          <w:sz w:val="24"/>
          <w:szCs w:val="24"/>
        </w:rPr>
        <w:t>forecast overspend £3.271m</w:t>
      </w:r>
    </w:p>
    <w:p w:rsidR="00606EEB" w:rsidRPr="00DF0E7D" w:rsidRDefault="00BC15A2" w:rsidP="00606EEB">
      <w:pPr>
        <w:autoSpaceDN w:val="0"/>
        <w:spacing w:after="0" w:line="240" w:lineRule="auto"/>
        <w:contextualSpacing/>
        <w:jc w:val="both"/>
        <w:rPr>
          <w:rFonts w:ascii="Arial" w:hAnsi="Arial" w:cs="Arial"/>
          <w:sz w:val="24"/>
          <w:szCs w:val="24"/>
        </w:rPr>
      </w:pPr>
      <w:r w:rsidRPr="00DF0E7D">
        <w:rPr>
          <w:rFonts w:ascii="Arial" w:hAnsi="Arial" w:cs="Arial"/>
          <w:sz w:val="24"/>
          <w:szCs w:val="24"/>
        </w:rPr>
        <w:t>The forecast variance includes an anticipated overspend of £3.474m related to staffing. The service continues to experience issues with recruitment and retention which results in posts being temporarily filled with agency staff (</w:t>
      </w:r>
      <w:r w:rsidRPr="00DF0E7D">
        <w:rPr>
          <w:rFonts w:ascii="Arial" w:hAnsi="Arial" w:cs="Arial"/>
          <w:sz w:val="24"/>
          <w:szCs w:val="24"/>
        </w:rPr>
        <w:t>at extra cost).  This position includes the cost of work undertaken by external providers. The service are working hard towards filling these vacancies to reduce this pressure within the financial year.</w:t>
      </w:r>
    </w:p>
    <w:p w:rsidR="00606EEB" w:rsidRPr="00DF0E7D" w:rsidRDefault="00BC15A2" w:rsidP="00606EEB">
      <w:pPr>
        <w:autoSpaceDN w:val="0"/>
        <w:spacing w:after="0" w:line="240" w:lineRule="auto"/>
        <w:contextualSpacing/>
        <w:jc w:val="both"/>
        <w:rPr>
          <w:rFonts w:ascii="Arial" w:hAnsi="Arial" w:cs="Arial"/>
          <w:sz w:val="24"/>
          <w:szCs w:val="24"/>
        </w:rPr>
      </w:pPr>
    </w:p>
    <w:p w:rsidR="00606EEB" w:rsidRPr="00DF0E7D" w:rsidRDefault="00BC15A2" w:rsidP="00606EEB">
      <w:pPr>
        <w:jc w:val="both"/>
        <w:rPr>
          <w:rFonts w:ascii="Arial" w:hAnsi="Arial" w:cs="Arial"/>
          <w:sz w:val="24"/>
          <w:szCs w:val="24"/>
        </w:rPr>
      </w:pPr>
      <w:r w:rsidRPr="00DF0E7D">
        <w:rPr>
          <w:rFonts w:ascii="Arial" w:hAnsi="Arial" w:cs="Arial"/>
          <w:sz w:val="24"/>
          <w:szCs w:val="24"/>
        </w:rPr>
        <w:t>Agency fostering placements are forecast to overspen</w:t>
      </w:r>
      <w:r w:rsidRPr="00DF0E7D">
        <w:rPr>
          <w:rFonts w:ascii="Arial" w:hAnsi="Arial" w:cs="Arial"/>
          <w:sz w:val="24"/>
          <w:szCs w:val="24"/>
        </w:rPr>
        <w:t>d by £1.160m. Placements increased from 488 in March 2018 to 524 in March 2019 but decreased to 523 placements in November 2019. Work is continuing as part of the children's services finance monitoring board to review numbers of placements, to estimate lik</w:t>
      </w:r>
      <w:r w:rsidRPr="00DF0E7D">
        <w:rPr>
          <w:rFonts w:ascii="Arial" w:hAnsi="Arial" w:cs="Arial"/>
          <w:sz w:val="24"/>
          <w:szCs w:val="24"/>
        </w:rPr>
        <w:t xml:space="preserve">ely future demand, including the achievement of agreed savings, in order to identify the impact of this on the county council's budget. </w:t>
      </w:r>
    </w:p>
    <w:p w:rsidR="00606EEB" w:rsidRPr="00DF0E7D" w:rsidRDefault="00BC15A2" w:rsidP="00606EEB">
      <w:pPr>
        <w:jc w:val="both"/>
        <w:rPr>
          <w:rFonts w:ascii="Arial" w:hAnsi="Arial" w:cs="Arial"/>
          <w:sz w:val="24"/>
          <w:szCs w:val="24"/>
        </w:rPr>
      </w:pPr>
      <w:r w:rsidRPr="00DF0E7D">
        <w:rPr>
          <w:rFonts w:ascii="Arial" w:hAnsi="Arial" w:cs="Arial"/>
          <w:sz w:val="24"/>
          <w:szCs w:val="24"/>
        </w:rPr>
        <w:t xml:space="preserve">There are forecast underspends within agency placements of £284,000 due to lower forecast demand. </w:t>
      </w:r>
    </w:p>
    <w:p w:rsidR="00606EEB" w:rsidRPr="00DF0E7D" w:rsidRDefault="00BC15A2" w:rsidP="00606EEB">
      <w:pPr>
        <w:spacing w:after="0"/>
        <w:jc w:val="both"/>
        <w:rPr>
          <w:rFonts w:ascii="Arial" w:hAnsi="Arial" w:cs="Arial"/>
          <w:sz w:val="24"/>
          <w:szCs w:val="24"/>
        </w:rPr>
      </w:pPr>
      <w:proofErr w:type="gramStart"/>
      <w:r w:rsidRPr="00DF0E7D">
        <w:rPr>
          <w:rFonts w:ascii="Arial" w:hAnsi="Arial" w:cs="Arial"/>
          <w:sz w:val="24"/>
          <w:szCs w:val="24"/>
        </w:rPr>
        <w:t>An underspend</w:t>
      </w:r>
      <w:proofErr w:type="gramEnd"/>
      <w:r w:rsidRPr="00DF0E7D">
        <w:rPr>
          <w:rFonts w:ascii="Arial" w:hAnsi="Arial" w:cs="Arial"/>
          <w:sz w:val="24"/>
          <w:szCs w:val="24"/>
        </w:rPr>
        <w:t xml:space="preserve"> of £1.</w:t>
      </w:r>
      <w:r w:rsidRPr="00DF0E7D">
        <w:rPr>
          <w:rFonts w:ascii="Arial" w:hAnsi="Arial" w:cs="Arial"/>
          <w:sz w:val="24"/>
          <w:szCs w:val="24"/>
        </w:rPr>
        <w:t>093m is forecast within family support payments (which mainly relates to child arrangement orders and regular payments).  Special guardianship orders (SGOs) continue to increase however, it is forecast that this will be contained within the budget for 2019</w:t>
      </w:r>
      <w:r w:rsidRPr="00DF0E7D">
        <w:rPr>
          <w:rFonts w:ascii="Arial" w:hAnsi="Arial" w:cs="Arial"/>
          <w:sz w:val="24"/>
          <w:szCs w:val="24"/>
        </w:rPr>
        <w:t>/20.</w:t>
      </w:r>
    </w:p>
    <w:p w:rsidR="00606EEB" w:rsidRPr="00DF0E7D" w:rsidRDefault="00BC15A2" w:rsidP="00606EEB">
      <w:pPr>
        <w:spacing w:after="0"/>
        <w:jc w:val="both"/>
        <w:rPr>
          <w:rFonts w:ascii="Arial" w:hAnsi="Arial" w:cs="Arial"/>
          <w:sz w:val="24"/>
          <w:szCs w:val="24"/>
        </w:rPr>
      </w:pPr>
    </w:p>
    <w:p w:rsidR="00606EEB" w:rsidRPr="00DF0E7D" w:rsidRDefault="00BC15A2" w:rsidP="00606EEB">
      <w:pPr>
        <w:spacing w:after="0"/>
        <w:jc w:val="both"/>
        <w:rPr>
          <w:rFonts w:ascii="Arial" w:hAnsi="Arial" w:cs="Arial"/>
          <w:sz w:val="24"/>
          <w:szCs w:val="24"/>
        </w:rPr>
      </w:pPr>
      <w:r w:rsidRPr="00DF0E7D">
        <w:rPr>
          <w:rFonts w:ascii="Arial" w:hAnsi="Arial" w:cs="Arial"/>
          <w:sz w:val="24"/>
          <w:szCs w:val="24"/>
        </w:rPr>
        <w:t>There are other minor overspends across the service.</w:t>
      </w:r>
    </w:p>
    <w:p w:rsidR="00606EEB" w:rsidRPr="00606EEB" w:rsidRDefault="00BC15A2" w:rsidP="00606EEB">
      <w:pPr>
        <w:spacing w:after="0"/>
        <w:jc w:val="both"/>
        <w:rPr>
          <w:rFonts w:ascii="Arial" w:hAnsi="Arial" w:cs="Arial"/>
          <w:sz w:val="24"/>
          <w:szCs w:val="24"/>
          <w:highlight w:val="yellow"/>
        </w:rPr>
      </w:pPr>
    </w:p>
    <w:p w:rsidR="00606EEB" w:rsidRPr="00265C85" w:rsidRDefault="00BC15A2" w:rsidP="00606EEB">
      <w:pPr>
        <w:tabs>
          <w:tab w:val="left" w:pos="851"/>
          <w:tab w:val="left" w:pos="1418"/>
        </w:tabs>
        <w:spacing w:after="0" w:line="240" w:lineRule="auto"/>
        <w:contextualSpacing/>
        <w:rPr>
          <w:rFonts w:ascii="Arial" w:hAnsi="Arial" w:cs="Arial"/>
          <w:b/>
          <w:sz w:val="24"/>
          <w:szCs w:val="24"/>
        </w:rPr>
      </w:pPr>
      <w:r w:rsidRPr="00265C85">
        <w:rPr>
          <w:rFonts w:ascii="Arial" w:hAnsi="Arial" w:cs="Arial"/>
          <w:b/>
          <w:sz w:val="24"/>
          <w:szCs w:val="24"/>
        </w:rPr>
        <w:t>Fostering, Adoption Residential and Youth Offending Team – forecast overspend £1.782m</w:t>
      </w:r>
    </w:p>
    <w:p w:rsidR="00606EEB" w:rsidRPr="00265C85" w:rsidRDefault="00BC15A2" w:rsidP="00606EEB">
      <w:pPr>
        <w:spacing w:after="0"/>
        <w:jc w:val="both"/>
        <w:rPr>
          <w:rFonts w:ascii="Arial" w:hAnsi="Arial" w:cs="Arial"/>
          <w:sz w:val="24"/>
          <w:szCs w:val="24"/>
        </w:rPr>
      </w:pPr>
      <w:r w:rsidRPr="00265C85">
        <w:rPr>
          <w:rFonts w:ascii="Arial" w:hAnsi="Arial" w:cs="Arial"/>
          <w:sz w:val="24"/>
          <w:szCs w:val="24"/>
        </w:rPr>
        <w:t xml:space="preserve">The service is forecasting </w:t>
      </w:r>
      <w:proofErr w:type="gramStart"/>
      <w:r w:rsidRPr="00265C85">
        <w:rPr>
          <w:rFonts w:ascii="Arial" w:hAnsi="Arial" w:cs="Arial"/>
          <w:sz w:val="24"/>
          <w:szCs w:val="24"/>
        </w:rPr>
        <w:t>an overspend</w:t>
      </w:r>
      <w:proofErr w:type="gramEnd"/>
      <w:r w:rsidRPr="00265C85">
        <w:rPr>
          <w:rFonts w:ascii="Arial" w:hAnsi="Arial" w:cs="Arial"/>
          <w:sz w:val="24"/>
          <w:szCs w:val="24"/>
        </w:rPr>
        <w:t xml:space="preserve"> mainly due to pressures within the residential in-house provision due </w:t>
      </w:r>
      <w:r w:rsidRPr="00265C85">
        <w:rPr>
          <w:rFonts w:ascii="Arial" w:hAnsi="Arial" w:cs="Arial"/>
          <w:sz w:val="24"/>
          <w:szCs w:val="24"/>
        </w:rPr>
        <w:t>to staff costs overspends of £912,000 resulting from an increase in complex placements. The use of casual staff to support outreach/edge of care services and welfare checks. In addition the fostering service is forecasting an overspend relating to fosterin</w:t>
      </w:r>
      <w:r w:rsidRPr="00265C85">
        <w:rPr>
          <w:rFonts w:ascii="Arial" w:hAnsi="Arial" w:cs="Arial"/>
          <w:sz w:val="24"/>
          <w:szCs w:val="24"/>
        </w:rPr>
        <w:t xml:space="preserve">g allowances of £920,000 as a result of increases in placement numbers. These pressures are offset by smaller underspends across other elements of the service. </w:t>
      </w:r>
    </w:p>
    <w:p w:rsidR="00606EEB" w:rsidRPr="00606EEB" w:rsidRDefault="00BC15A2" w:rsidP="00606EEB">
      <w:pPr>
        <w:spacing w:after="0" w:line="240" w:lineRule="auto"/>
        <w:contextualSpacing/>
        <w:rPr>
          <w:rFonts w:ascii="Arial" w:hAnsi="Arial" w:cs="Arial"/>
          <w:sz w:val="24"/>
          <w:szCs w:val="24"/>
          <w:highlight w:val="yellow"/>
        </w:rPr>
      </w:pPr>
    </w:p>
    <w:p w:rsidR="00606EEB" w:rsidRPr="0028057C" w:rsidRDefault="00BC15A2" w:rsidP="00606EEB">
      <w:pPr>
        <w:tabs>
          <w:tab w:val="left" w:pos="851"/>
          <w:tab w:val="left" w:pos="1418"/>
        </w:tabs>
        <w:spacing w:after="0" w:line="240" w:lineRule="auto"/>
        <w:ind w:left="855" w:hanging="855"/>
        <w:contextualSpacing/>
        <w:rPr>
          <w:rFonts w:ascii="Arial" w:hAnsi="Arial" w:cs="Arial"/>
          <w:sz w:val="24"/>
          <w:szCs w:val="24"/>
        </w:rPr>
      </w:pPr>
      <w:r w:rsidRPr="0028057C">
        <w:rPr>
          <w:rFonts w:ascii="Arial" w:hAnsi="Arial" w:cs="Arial"/>
          <w:b/>
          <w:sz w:val="24"/>
          <w:szCs w:val="24"/>
        </w:rPr>
        <w:t>Safeguarding, Inspection and Audit (SIA) – forecast underspend £492,000</w:t>
      </w:r>
    </w:p>
    <w:p w:rsidR="00606EEB" w:rsidRPr="0028057C" w:rsidRDefault="00BC15A2" w:rsidP="00606EEB">
      <w:pPr>
        <w:autoSpaceDN w:val="0"/>
        <w:spacing w:after="0" w:line="240" w:lineRule="auto"/>
        <w:jc w:val="both"/>
        <w:rPr>
          <w:rFonts w:ascii="Arial" w:hAnsi="Arial" w:cs="Arial"/>
          <w:sz w:val="24"/>
          <w:szCs w:val="24"/>
        </w:rPr>
      </w:pPr>
      <w:r w:rsidRPr="0028057C">
        <w:rPr>
          <w:rFonts w:ascii="Arial" w:hAnsi="Arial" w:cs="Arial"/>
          <w:sz w:val="24"/>
          <w:szCs w:val="24"/>
        </w:rPr>
        <w:t xml:space="preserve">The service is forecasting underspends relating to staff costs across the service as a result of vacancies which are slightly offset by smaller overspends on operational costs within the service. </w:t>
      </w:r>
    </w:p>
    <w:p w:rsidR="00606EEB" w:rsidRPr="00606EEB" w:rsidRDefault="00BC15A2" w:rsidP="00606EEB">
      <w:pPr>
        <w:autoSpaceDN w:val="0"/>
        <w:spacing w:after="0" w:line="240" w:lineRule="auto"/>
        <w:jc w:val="both"/>
        <w:rPr>
          <w:rFonts w:ascii="Arial" w:hAnsi="Arial" w:cs="Arial"/>
          <w:sz w:val="24"/>
          <w:szCs w:val="24"/>
          <w:highlight w:val="yellow"/>
        </w:rPr>
      </w:pPr>
    </w:p>
    <w:p w:rsidR="00606EEB" w:rsidRPr="0028057C" w:rsidRDefault="00BC15A2" w:rsidP="00606EEB">
      <w:pPr>
        <w:spacing w:after="0" w:line="240" w:lineRule="auto"/>
        <w:contextualSpacing/>
        <w:rPr>
          <w:rFonts w:ascii="Arial" w:eastAsia="Calibri" w:hAnsi="Arial" w:cs="Arial"/>
          <w:b/>
          <w:color w:val="000000"/>
          <w:sz w:val="24"/>
          <w:szCs w:val="24"/>
        </w:rPr>
      </w:pPr>
      <w:r w:rsidRPr="0028057C">
        <w:rPr>
          <w:rFonts w:ascii="Arial" w:eastAsia="Calibri" w:hAnsi="Arial" w:cs="Arial"/>
          <w:b/>
          <w:color w:val="000000"/>
          <w:sz w:val="24"/>
          <w:szCs w:val="24"/>
        </w:rPr>
        <w:t>Children Family and Wellbeing Service (CFW) – forecast und</w:t>
      </w:r>
      <w:r w:rsidRPr="0028057C">
        <w:rPr>
          <w:rFonts w:ascii="Arial" w:eastAsia="Calibri" w:hAnsi="Arial" w:cs="Arial"/>
          <w:b/>
          <w:color w:val="000000"/>
          <w:sz w:val="24"/>
          <w:szCs w:val="24"/>
        </w:rPr>
        <w:t>erspend £2.976m</w:t>
      </w:r>
    </w:p>
    <w:p w:rsidR="00606EEB" w:rsidRPr="0028057C" w:rsidRDefault="00BC15A2" w:rsidP="00606EEB">
      <w:pPr>
        <w:tabs>
          <w:tab w:val="left" w:pos="851"/>
          <w:tab w:val="left" w:pos="1418"/>
        </w:tabs>
        <w:spacing w:after="0" w:line="240" w:lineRule="auto"/>
        <w:contextualSpacing/>
        <w:jc w:val="both"/>
        <w:rPr>
          <w:rFonts w:ascii="Arial" w:hAnsi="Arial" w:cs="Arial"/>
          <w:sz w:val="24"/>
          <w:szCs w:val="24"/>
        </w:rPr>
      </w:pPr>
      <w:r w:rsidRPr="0028057C">
        <w:rPr>
          <w:rFonts w:ascii="Arial" w:hAnsi="Arial" w:cs="Arial"/>
          <w:sz w:val="24"/>
          <w:szCs w:val="24"/>
        </w:rPr>
        <w:t>The forecast position relates to anticipated staffing underspends of £1.362m due to continuing levels of staff vacancies over and above the vacancy factor level. However, the staffing levels mean the service is having to adapt their level o</w:t>
      </w:r>
      <w:r w:rsidRPr="0028057C">
        <w:rPr>
          <w:rFonts w:ascii="Arial" w:hAnsi="Arial" w:cs="Arial"/>
          <w:sz w:val="24"/>
          <w:szCs w:val="24"/>
        </w:rPr>
        <w:t>f service delivery accordingly. In addition, in the final year of the troubled families programme the service expect to significantly over achieve the budgeted level of income they receive due to payment by results by £1.259m. There are further minor under</w:t>
      </w:r>
      <w:r w:rsidRPr="0028057C">
        <w:rPr>
          <w:rFonts w:ascii="Arial" w:hAnsi="Arial" w:cs="Arial"/>
          <w:sz w:val="24"/>
          <w:szCs w:val="24"/>
        </w:rPr>
        <w:t>spends in aggregate £355,000 across the remainder of the service.</w:t>
      </w:r>
    </w:p>
    <w:p w:rsidR="00606EEB" w:rsidRPr="00606EEB" w:rsidRDefault="00BC15A2" w:rsidP="00606EEB">
      <w:pPr>
        <w:tabs>
          <w:tab w:val="left" w:pos="851"/>
          <w:tab w:val="left" w:pos="1418"/>
        </w:tabs>
        <w:spacing w:after="0" w:line="240" w:lineRule="auto"/>
        <w:contextualSpacing/>
        <w:rPr>
          <w:rFonts w:ascii="Arial" w:hAnsi="Arial" w:cs="Arial"/>
          <w:b/>
          <w:sz w:val="24"/>
          <w:szCs w:val="24"/>
          <w:highlight w:val="yellow"/>
        </w:rPr>
      </w:pPr>
    </w:p>
    <w:p w:rsidR="00606EEB" w:rsidRPr="006E6326" w:rsidRDefault="00BC15A2" w:rsidP="00606EEB">
      <w:pPr>
        <w:spacing w:after="0" w:line="240" w:lineRule="auto"/>
        <w:contextualSpacing/>
        <w:rPr>
          <w:rFonts w:ascii="Arial" w:hAnsi="Arial" w:cs="Arial"/>
          <w:b/>
          <w:sz w:val="24"/>
          <w:szCs w:val="24"/>
        </w:rPr>
      </w:pPr>
      <w:r w:rsidRPr="006E6326">
        <w:rPr>
          <w:rFonts w:ascii="Arial" w:hAnsi="Arial" w:cs="Arial"/>
          <w:b/>
          <w:sz w:val="24"/>
          <w:szCs w:val="24"/>
        </w:rPr>
        <w:t>Education Quality and Performance – forecast overspend £225,000</w:t>
      </w:r>
    </w:p>
    <w:p w:rsidR="00606EEB" w:rsidRPr="006E6326" w:rsidRDefault="00BC15A2" w:rsidP="00606EEB">
      <w:pPr>
        <w:autoSpaceDE w:val="0"/>
        <w:autoSpaceDN w:val="0"/>
        <w:adjustRightInd w:val="0"/>
        <w:spacing w:after="0" w:line="240" w:lineRule="auto"/>
        <w:jc w:val="both"/>
        <w:rPr>
          <w:rFonts w:ascii="Arial" w:hAnsi="Arial" w:cs="Arial"/>
          <w:sz w:val="24"/>
          <w:szCs w:val="24"/>
        </w:rPr>
      </w:pPr>
      <w:r w:rsidRPr="006E6326">
        <w:rPr>
          <w:rFonts w:ascii="Arial" w:hAnsi="Arial" w:cs="Arial"/>
          <w:sz w:val="24"/>
          <w:szCs w:val="24"/>
        </w:rPr>
        <w:t>Forecast underspends of £350,000 relate to CLA work placements based on levels of expenditure in 2018/19.  This represents ea</w:t>
      </w:r>
      <w:r w:rsidRPr="006E6326">
        <w:rPr>
          <w:rFonts w:ascii="Arial" w:hAnsi="Arial" w:cs="Arial"/>
          <w:sz w:val="24"/>
          <w:szCs w:val="24"/>
        </w:rPr>
        <w:t>rly delivery of savings which are due to be made from 2020/21.</w:t>
      </w:r>
    </w:p>
    <w:p w:rsidR="00606EEB" w:rsidRPr="006E6326" w:rsidRDefault="00BC15A2" w:rsidP="00606EEB">
      <w:pPr>
        <w:autoSpaceDE w:val="0"/>
        <w:autoSpaceDN w:val="0"/>
        <w:adjustRightInd w:val="0"/>
        <w:spacing w:after="0" w:line="240" w:lineRule="auto"/>
        <w:jc w:val="both"/>
        <w:rPr>
          <w:rFonts w:ascii="Arial" w:hAnsi="Arial" w:cs="Arial"/>
          <w:sz w:val="24"/>
          <w:szCs w:val="24"/>
        </w:rPr>
      </w:pPr>
    </w:p>
    <w:p w:rsidR="00606EEB" w:rsidRPr="006E6326" w:rsidRDefault="00BC15A2" w:rsidP="00606EEB">
      <w:pPr>
        <w:autoSpaceDE w:val="0"/>
        <w:autoSpaceDN w:val="0"/>
        <w:adjustRightInd w:val="0"/>
        <w:spacing w:after="0" w:line="240" w:lineRule="auto"/>
        <w:jc w:val="both"/>
        <w:rPr>
          <w:rFonts w:ascii="Arial" w:hAnsi="Arial" w:cs="Arial"/>
          <w:sz w:val="24"/>
          <w:szCs w:val="24"/>
        </w:rPr>
      </w:pPr>
      <w:r w:rsidRPr="006E6326">
        <w:rPr>
          <w:rFonts w:ascii="Arial" w:hAnsi="Arial" w:cs="Arial"/>
          <w:sz w:val="24"/>
          <w:szCs w:val="24"/>
        </w:rPr>
        <w:t>Learning excellence is forecast to overspend by £511,000. This is due to a delay in delivery of savings and a decrease in income as a result of a decline in course bookings following changes t</w:t>
      </w:r>
      <w:r w:rsidRPr="006E6326">
        <w:rPr>
          <w:rFonts w:ascii="Arial" w:hAnsi="Arial" w:cs="Arial"/>
          <w:sz w:val="24"/>
          <w:szCs w:val="24"/>
        </w:rPr>
        <w:t>o course provision locations.  Despite the service having explored every alternative to deliver this saving it has not been possible to do so and as a result of this a recurrent pressure of £789,000 has been built into the MTFS as agreed at cabinet in Janu</w:t>
      </w:r>
      <w:r w:rsidRPr="006E6326">
        <w:rPr>
          <w:rFonts w:ascii="Arial" w:hAnsi="Arial" w:cs="Arial"/>
          <w:sz w:val="24"/>
          <w:szCs w:val="24"/>
        </w:rPr>
        <w:t xml:space="preserve">ary. </w:t>
      </w:r>
    </w:p>
    <w:p w:rsidR="00606EEB" w:rsidRPr="006E6326" w:rsidRDefault="00BC15A2" w:rsidP="00606EEB">
      <w:pPr>
        <w:autoSpaceDE w:val="0"/>
        <w:autoSpaceDN w:val="0"/>
        <w:adjustRightInd w:val="0"/>
        <w:spacing w:after="0" w:line="240" w:lineRule="auto"/>
        <w:jc w:val="both"/>
        <w:rPr>
          <w:rFonts w:ascii="Arial" w:hAnsi="Arial" w:cs="Arial"/>
          <w:sz w:val="24"/>
          <w:szCs w:val="24"/>
        </w:rPr>
      </w:pPr>
    </w:p>
    <w:p w:rsidR="00606EEB" w:rsidRPr="006E6326" w:rsidRDefault="00BC15A2" w:rsidP="00606EEB">
      <w:pPr>
        <w:autoSpaceDE w:val="0"/>
        <w:autoSpaceDN w:val="0"/>
        <w:adjustRightInd w:val="0"/>
        <w:spacing w:after="0" w:line="240" w:lineRule="auto"/>
        <w:jc w:val="both"/>
        <w:rPr>
          <w:rFonts w:ascii="Arial" w:hAnsi="Arial" w:cs="Arial"/>
          <w:sz w:val="24"/>
          <w:szCs w:val="24"/>
        </w:rPr>
      </w:pPr>
      <w:r w:rsidRPr="006E6326">
        <w:rPr>
          <w:rFonts w:ascii="Arial" w:hAnsi="Arial" w:cs="Arial"/>
          <w:sz w:val="24"/>
          <w:szCs w:val="24"/>
        </w:rPr>
        <w:t>There are further minor overspends of £56,000 across the remainder of the service.</w:t>
      </w:r>
    </w:p>
    <w:p w:rsidR="00606EEB" w:rsidRPr="00606EEB" w:rsidRDefault="00BC15A2" w:rsidP="00606EEB">
      <w:pPr>
        <w:autoSpaceDE w:val="0"/>
        <w:autoSpaceDN w:val="0"/>
        <w:adjustRightInd w:val="0"/>
        <w:spacing w:after="0" w:line="240" w:lineRule="auto"/>
        <w:jc w:val="both"/>
        <w:rPr>
          <w:rFonts w:ascii="Arial" w:hAnsi="Arial" w:cs="Arial"/>
          <w:sz w:val="24"/>
          <w:szCs w:val="24"/>
          <w:highlight w:val="yellow"/>
        </w:rPr>
      </w:pPr>
    </w:p>
    <w:p w:rsidR="00606EEB" w:rsidRPr="008436F2" w:rsidRDefault="00BC15A2" w:rsidP="00606EEB">
      <w:pPr>
        <w:tabs>
          <w:tab w:val="left" w:pos="851"/>
          <w:tab w:val="left" w:pos="1418"/>
        </w:tabs>
        <w:spacing w:after="0" w:line="240" w:lineRule="auto"/>
        <w:contextualSpacing/>
        <w:rPr>
          <w:rFonts w:ascii="Arial" w:hAnsi="Arial" w:cs="Arial"/>
          <w:sz w:val="24"/>
          <w:szCs w:val="24"/>
        </w:rPr>
      </w:pPr>
      <w:r w:rsidRPr="008436F2">
        <w:rPr>
          <w:rFonts w:ascii="Arial" w:hAnsi="Arial" w:cs="Arial"/>
          <w:b/>
          <w:bCs/>
          <w:sz w:val="24"/>
          <w:szCs w:val="24"/>
        </w:rPr>
        <w:t>Inclusion – forecast o</w:t>
      </w:r>
      <w:r w:rsidRPr="008436F2">
        <w:rPr>
          <w:rFonts w:ascii="Arial" w:eastAsia="Calibri" w:hAnsi="Arial" w:cs="Arial"/>
          <w:b/>
          <w:color w:val="000000"/>
          <w:sz w:val="24"/>
          <w:szCs w:val="24"/>
        </w:rPr>
        <w:t>verspend £2.180m</w:t>
      </w:r>
      <w:r w:rsidRPr="008436F2">
        <w:rPr>
          <w:rFonts w:ascii="Arial" w:hAnsi="Arial" w:cs="Arial"/>
          <w:sz w:val="24"/>
          <w:szCs w:val="24"/>
        </w:rPr>
        <w:t xml:space="preserve"> </w:t>
      </w:r>
    </w:p>
    <w:p w:rsidR="00606EEB" w:rsidRPr="008436F2" w:rsidRDefault="00BC15A2" w:rsidP="00606EEB">
      <w:pPr>
        <w:tabs>
          <w:tab w:val="left" w:pos="851"/>
          <w:tab w:val="left" w:pos="1418"/>
        </w:tabs>
        <w:spacing w:after="0" w:line="240" w:lineRule="auto"/>
        <w:contextualSpacing/>
        <w:rPr>
          <w:rFonts w:ascii="Arial" w:hAnsi="Arial" w:cs="Arial"/>
          <w:sz w:val="24"/>
          <w:szCs w:val="24"/>
        </w:rPr>
      </w:pPr>
      <w:r w:rsidRPr="008436F2">
        <w:rPr>
          <w:rFonts w:ascii="Arial" w:hAnsi="Arial" w:cs="Arial"/>
          <w:sz w:val="24"/>
          <w:szCs w:val="24"/>
        </w:rPr>
        <w:t>There are overspends of £1.750m forecast in children with disabilities (</w:t>
      </w:r>
      <w:proofErr w:type="spellStart"/>
      <w:r w:rsidRPr="008436F2">
        <w:rPr>
          <w:rFonts w:ascii="Arial" w:hAnsi="Arial" w:cs="Arial"/>
          <w:sz w:val="24"/>
          <w:szCs w:val="24"/>
        </w:rPr>
        <w:t>CwD</w:t>
      </w:r>
      <w:proofErr w:type="spellEnd"/>
      <w:r w:rsidRPr="008436F2">
        <w:rPr>
          <w:rFonts w:ascii="Arial" w:hAnsi="Arial" w:cs="Arial"/>
          <w:sz w:val="24"/>
          <w:szCs w:val="24"/>
        </w:rPr>
        <w:t xml:space="preserve">) placements (which includes residential and </w:t>
      </w:r>
      <w:r w:rsidRPr="008436F2">
        <w:rPr>
          <w:rFonts w:ascii="Arial" w:hAnsi="Arial" w:cs="Arial"/>
          <w:sz w:val="24"/>
          <w:szCs w:val="24"/>
        </w:rPr>
        <w:t xml:space="preserve">fostering placements) </w:t>
      </w:r>
      <w:proofErr w:type="spellStart"/>
      <w:r w:rsidRPr="008436F2">
        <w:rPr>
          <w:rFonts w:ascii="Arial" w:hAnsi="Arial" w:cs="Arial"/>
          <w:sz w:val="24"/>
          <w:szCs w:val="24"/>
        </w:rPr>
        <w:t>CwD</w:t>
      </w:r>
      <w:proofErr w:type="spellEnd"/>
      <w:r w:rsidRPr="008436F2">
        <w:rPr>
          <w:rFonts w:ascii="Arial" w:hAnsi="Arial" w:cs="Arial"/>
          <w:sz w:val="24"/>
          <w:szCs w:val="24"/>
        </w:rPr>
        <w:t xml:space="preserve"> family support £238,000 due to increases in demand, aids and adaptations £160,000, and within traded services of £140,000. </w:t>
      </w:r>
    </w:p>
    <w:p w:rsidR="00606EEB" w:rsidRPr="008436F2" w:rsidRDefault="00BC15A2" w:rsidP="00606EEB">
      <w:pPr>
        <w:tabs>
          <w:tab w:val="left" w:pos="851"/>
          <w:tab w:val="left" w:pos="1418"/>
        </w:tabs>
        <w:spacing w:after="0" w:line="240" w:lineRule="auto"/>
        <w:contextualSpacing/>
        <w:rPr>
          <w:rFonts w:ascii="Arial" w:hAnsi="Arial" w:cs="Arial"/>
          <w:sz w:val="24"/>
          <w:szCs w:val="24"/>
        </w:rPr>
      </w:pPr>
    </w:p>
    <w:p w:rsidR="00606EEB" w:rsidRPr="008436F2" w:rsidRDefault="00BC15A2" w:rsidP="00606EEB">
      <w:pPr>
        <w:tabs>
          <w:tab w:val="left" w:pos="851"/>
          <w:tab w:val="left" w:pos="1418"/>
        </w:tabs>
        <w:spacing w:after="0" w:line="240" w:lineRule="auto"/>
        <w:contextualSpacing/>
        <w:rPr>
          <w:rFonts w:ascii="Arial" w:hAnsi="Arial" w:cs="Arial"/>
          <w:sz w:val="24"/>
          <w:szCs w:val="24"/>
        </w:rPr>
      </w:pPr>
      <w:r w:rsidRPr="008436F2">
        <w:rPr>
          <w:rFonts w:ascii="Arial" w:hAnsi="Arial" w:cs="Arial"/>
          <w:sz w:val="24"/>
          <w:szCs w:val="24"/>
        </w:rPr>
        <w:t>There remains a pressure of £400,000 in Lancashire break time pending the review of the short breaks offe</w:t>
      </w:r>
      <w:r w:rsidRPr="008436F2">
        <w:rPr>
          <w:rFonts w:ascii="Arial" w:hAnsi="Arial" w:cs="Arial"/>
          <w:sz w:val="24"/>
          <w:szCs w:val="24"/>
        </w:rPr>
        <w:t>r which is due in March 2020.</w:t>
      </w:r>
    </w:p>
    <w:p w:rsidR="00606EEB" w:rsidRPr="008436F2" w:rsidRDefault="00BC15A2" w:rsidP="00606EEB">
      <w:pPr>
        <w:autoSpaceDE w:val="0"/>
        <w:autoSpaceDN w:val="0"/>
        <w:adjustRightInd w:val="0"/>
        <w:spacing w:after="0" w:line="240" w:lineRule="auto"/>
        <w:jc w:val="both"/>
        <w:rPr>
          <w:rFonts w:ascii="Arial" w:hAnsi="Arial" w:cs="Arial"/>
          <w:sz w:val="24"/>
          <w:szCs w:val="24"/>
        </w:rPr>
      </w:pPr>
    </w:p>
    <w:p w:rsidR="00606EEB" w:rsidRPr="00606EEB" w:rsidRDefault="00BC15A2" w:rsidP="00606EEB">
      <w:pPr>
        <w:autoSpaceDE w:val="0"/>
        <w:autoSpaceDN w:val="0"/>
        <w:adjustRightInd w:val="0"/>
        <w:spacing w:after="0" w:line="240" w:lineRule="auto"/>
        <w:jc w:val="both"/>
        <w:rPr>
          <w:rFonts w:ascii="Arial" w:hAnsi="Arial" w:cs="Arial"/>
          <w:sz w:val="24"/>
          <w:szCs w:val="24"/>
          <w:highlight w:val="yellow"/>
        </w:rPr>
      </w:pPr>
      <w:r w:rsidRPr="008436F2">
        <w:rPr>
          <w:rFonts w:ascii="Arial" w:hAnsi="Arial" w:cs="Arial"/>
          <w:sz w:val="24"/>
          <w:szCs w:val="24"/>
        </w:rPr>
        <w:t xml:space="preserve">Offsetting these pressures are underspends across staffing costs and operational costs of £508,000. </w:t>
      </w:r>
    </w:p>
    <w:p w:rsidR="00606EEB" w:rsidRPr="00606EEB" w:rsidRDefault="00BC15A2" w:rsidP="00606EEB">
      <w:pPr>
        <w:spacing w:after="0" w:line="240" w:lineRule="auto"/>
        <w:contextualSpacing/>
        <w:rPr>
          <w:rFonts w:ascii="Arial" w:eastAsia="Calibri" w:hAnsi="Arial" w:cs="Arial"/>
          <w:color w:val="000000"/>
          <w:sz w:val="24"/>
          <w:szCs w:val="24"/>
          <w:highlight w:val="yellow"/>
        </w:rPr>
      </w:pPr>
    </w:p>
    <w:p w:rsidR="00606EEB" w:rsidRPr="00F969EA" w:rsidRDefault="00BC15A2" w:rsidP="00606EEB">
      <w:pPr>
        <w:spacing w:after="0" w:line="240" w:lineRule="auto"/>
        <w:contextualSpacing/>
        <w:rPr>
          <w:rFonts w:ascii="Arial" w:hAnsi="Arial" w:cs="Arial"/>
          <w:b/>
          <w:sz w:val="24"/>
          <w:szCs w:val="24"/>
        </w:rPr>
      </w:pPr>
      <w:r w:rsidRPr="00F969EA">
        <w:rPr>
          <w:rFonts w:ascii="Arial" w:hAnsi="Arial" w:cs="Arial"/>
          <w:b/>
          <w:sz w:val="24"/>
          <w:szCs w:val="24"/>
        </w:rPr>
        <w:t>Libraries, Museums, Culture and Archives (LMCA) – forecast underspend £353,000</w:t>
      </w:r>
    </w:p>
    <w:p w:rsidR="00F969EA" w:rsidRPr="00F969EA" w:rsidRDefault="00BC15A2" w:rsidP="00F969EA">
      <w:pPr>
        <w:spacing w:after="0" w:line="240" w:lineRule="auto"/>
        <w:contextualSpacing/>
        <w:jc w:val="both"/>
        <w:rPr>
          <w:rFonts w:ascii="Arial" w:hAnsi="Arial" w:cs="Arial"/>
          <w:sz w:val="24"/>
          <w:szCs w:val="24"/>
        </w:rPr>
      </w:pPr>
      <w:r w:rsidRPr="00F969EA">
        <w:rPr>
          <w:rFonts w:ascii="Arial" w:hAnsi="Arial" w:cs="Arial"/>
          <w:sz w:val="24"/>
          <w:szCs w:val="24"/>
        </w:rPr>
        <w:t xml:space="preserve">The forecast underspend relates </w:t>
      </w:r>
      <w:r w:rsidRPr="00F969EA">
        <w:rPr>
          <w:rFonts w:ascii="Arial" w:hAnsi="Arial" w:cs="Arial"/>
          <w:sz w:val="24"/>
          <w:szCs w:val="24"/>
        </w:rPr>
        <w:t>predominantly to the library se</w:t>
      </w:r>
      <w:r>
        <w:rPr>
          <w:rFonts w:ascii="Arial" w:hAnsi="Arial" w:cs="Arial"/>
          <w:sz w:val="24"/>
          <w:szCs w:val="24"/>
        </w:rPr>
        <w:t xml:space="preserve">rvice with </w:t>
      </w:r>
      <w:proofErr w:type="gramStart"/>
      <w:r>
        <w:rPr>
          <w:rFonts w:ascii="Arial" w:hAnsi="Arial" w:cs="Arial"/>
          <w:sz w:val="24"/>
          <w:szCs w:val="24"/>
        </w:rPr>
        <w:t xml:space="preserve">an </w:t>
      </w:r>
      <w:r w:rsidRPr="00F969EA">
        <w:rPr>
          <w:rFonts w:ascii="Arial" w:hAnsi="Arial" w:cs="Arial"/>
          <w:sz w:val="24"/>
          <w:szCs w:val="24"/>
        </w:rPr>
        <w:t>underspend</w:t>
      </w:r>
      <w:proofErr w:type="gramEnd"/>
      <w:r w:rsidRPr="00F969EA">
        <w:rPr>
          <w:rFonts w:ascii="Arial" w:hAnsi="Arial" w:cs="Arial"/>
          <w:sz w:val="24"/>
          <w:szCs w:val="24"/>
        </w:rPr>
        <w:t xml:space="preserve"> of £698,000 as a result of a combination of lower staffing and supplies and services expenditure. This underspend is non-recurrent.</w:t>
      </w:r>
      <w:r w:rsidRPr="00F969EA">
        <w:rPr>
          <w:rFonts w:ascii="Arial" w:hAnsi="Arial" w:cs="Arial"/>
        </w:rPr>
        <w:t xml:space="preserve"> </w:t>
      </w:r>
      <w:r w:rsidRPr="00F969EA">
        <w:rPr>
          <w:rFonts w:ascii="Arial" w:hAnsi="Arial" w:cs="Arial"/>
          <w:sz w:val="24"/>
          <w:szCs w:val="24"/>
        </w:rPr>
        <w:t>A port</w:t>
      </w:r>
      <w:r>
        <w:rPr>
          <w:rFonts w:ascii="Arial" w:hAnsi="Arial" w:cs="Arial"/>
          <w:sz w:val="24"/>
          <w:szCs w:val="24"/>
        </w:rPr>
        <w:t>ion of this underspend</w:t>
      </w:r>
      <w:r w:rsidRPr="00F969EA">
        <w:rPr>
          <w:rFonts w:ascii="Arial" w:hAnsi="Arial" w:cs="Arial"/>
          <w:sz w:val="24"/>
          <w:szCs w:val="24"/>
        </w:rPr>
        <w:t xml:space="preserve"> is forecast to be transferred to reserv</w:t>
      </w:r>
      <w:r w:rsidRPr="00F969EA">
        <w:rPr>
          <w:rFonts w:ascii="Arial" w:hAnsi="Arial" w:cs="Arial"/>
          <w:sz w:val="24"/>
          <w:szCs w:val="24"/>
        </w:rPr>
        <w:t xml:space="preserve">es for restocking the Harris library following renovation and for refresh in the larger band A category libraries. </w:t>
      </w:r>
      <w:r w:rsidRPr="00F969EA">
        <w:rPr>
          <w:rFonts w:ascii="Arial" w:hAnsi="Arial" w:cs="Arial"/>
          <w:sz w:val="24"/>
          <w:szCs w:val="24"/>
        </w:rPr>
        <w:lastRenderedPageBreak/>
        <w:t>The remainder of the forecast underspend on libraries of c£400,000 relates to a combination of staffing underspends and lower supplies and se</w:t>
      </w:r>
      <w:r w:rsidRPr="00F969EA">
        <w:rPr>
          <w:rFonts w:ascii="Arial" w:hAnsi="Arial" w:cs="Arial"/>
          <w:sz w:val="24"/>
          <w:szCs w:val="24"/>
        </w:rPr>
        <w:t xml:space="preserve">rvices expenditure, particularly on ICT spend. </w:t>
      </w:r>
    </w:p>
    <w:p w:rsidR="00606EEB" w:rsidRPr="00606EEB" w:rsidRDefault="00BC15A2" w:rsidP="00606EEB">
      <w:pPr>
        <w:spacing w:after="0" w:line="240" w:lineRule="auto"/>
        <w:jc w:val="both"/>
        <w:rPr>
          <w:rFonts w:ascii="Arial" w:hAnsi="Arial" w:cs="Arial"/>
          <w:sz w:val="24"/>
          <w:szCs w:val="24"/>
          <w:highlight w:val="yellow"/>
        </w:rPr>
      </w:pPr>
    </w:p>
    <w:p w:rsidR="00606EEB" w:rsidRPr="00606EEB" w:rsidRDefault="00BC15A2" w:rsidP="00606EEB">
      <w:pPr>
        <w:spacing w:after="0" w:line="240" w:lineRule="auto"/>
        <w:jc w:val="both"/>
        <w:rPr>
          <w:rFonts w:ascii="Arial" w:hAnsi="Arial" w:cs="Arial"/>
          <w:sz w:val="24"/>
          <w:szCs w:val="24"/>
          <w:highlight w:val="yellow"/>
        </w:rPr>
      </w:pPr>
    </w:p>
    <w:p w:rsidR="00606EEB" w:rsidRPr="00780166" w:rsidRDefault="00BC15A2" w:rsidP="00606EEB">
      <w:pPr>
        <w:spacing w:after="0" w:line="240" w:lineRule="auto"/>
        <w:jc w:val="both"/>
        <w:rPr>
          <w:rFonts w:ascii="Arial" w:hAnsi="Arial" w:cs="Arial"/>
          <w:sz w:val="24"/>
          <w:szCs w:val="24"/>
        </w:rPr>
      </w:pPr>
      <w:r w:rsidRPr="00780166">
        <w:rPr>
          <w:rFonts w:ascii="Arial" w:hAnsi="Arial" w:cs="Arial"/>
          <w:sz w:val="24"/>
          <w:szCs w:val="24"/>
        </w:rPr>
        <w:t>Offsetting this are pressures of £190,000 in 2019/20 within the museums service and the conservation and collections team pending further decisions on the long term future of Queen Street Mill Museum and He</w:t>
      </w:r>
      <w:r w:rsidRPr="00780166">
        <w:rPr>
          <w:rFonts w:ascii="Arial" w:hAnsi="Arial" w:cs="Arial"/>
          <w:sz w:val="24"/>
          <w:szCs w:val="24"/>
        </w:rPr>
        <w:t>lmshore Mills Textile Museum and in outdoor education which is forecast to overspend by £279,000 as a result of undelivered savings from 2017/18 and an increase in supplies and services expenditure.   </w:t>
      </w:r>
    </w:p>
    <w:p w:rsidR="00606EEB" w:rsidRPr="00606EEB" w:rsidRDefault="00BC15A2" w:rsidP="00606EEB">
      <w:pPr>
        <w:spacing w:after="0" w:line="240" w:lineRule="auto"/>
        <w:jc w:val="both"/>
        <w:rPr>
          <w:rFonts w:ascii="Arial" w:hAnsi="Arial" w:cs="Arial"/>
          <w:sz w:val="24"/>
          <w:szCs w:val="24"/>
          <w:highlight w:val="yellow"/>
        </w:rPr>
      </w:pPr>
    </w:p>
    <w:p w:rsidR="00606EEB" w:rsidRPr="00D6325D" w:rsidRDefault="00BC15A2" w:rsidP="00606EEB">
      <w:pPr>
        <w:spacing w:after="0" w:line="240" w:lineRule="auto"/>
        <w:contextualSpacing/>
        <w:rPr>
          <w:rFonts w:ascii="Arial" w:hAnsi="Arial" w:cs="Arial"/>
          <w:b/>
          <w:sz w:val="24"/>
          <w:szCs w:val="24"/>
        </w:rPr>
      </w:pPr>
      <w:r w:rsidRPr="00D6325D">
        <w:rPr>
          <w:rFonts w:ascii="Arial" w:hAnsi="Arial" w:cs="Arial"/>
          <w:b/>
          <w:sz w:val="24"/>
          <w:szCs w:val="24"/>
        </w:rPr>
        <w:t>Education and Children's Services Central Costs – for</w:t>
      </w:r>
      <w:r w:rsidRPr="00D6325D">
        <w:rPr>
          <w:rFonts w:ascii="Arial" w:hAnsi="Arial" w:cs="Arial"/>
          <w:b/>
          <w:sz w:val="24"/>
          <w:szCs w:val="24"/>
        </w:rPr>
        <w:t>ecast underspend £183,000</w:t>
      </w:r>
    </w:p>
    <w:p w:rsidR="00606EEB" w:rsidRPr="00D6325D" w:rsidRDefault="00BC15A2" w:rsidP="00606EEB">
      <w:pPr>
        <w:autoSpaceDN w:val="0"/>
        <w:spacing w:after="0" w:line="240" w:lineRule="auto"/>
        <w:jc w:val="both"/>
        <w:rPr>
          <w:rFonts w:ascii="Arial" w:hAnsi="Arial" w:cs="Arial"/>
          <w:sz w:val="24"/>
          <w:szCs w:val="24"/>
        </w:rPr>
      </w:pPr>
      <w:r w:rsidRPr="00D6325D">
        <w:rPr>
          <w:rFonts w:ascii="Arial" w:hAnsi="Arial" w:cs="Arial"/>
          <w:sz w:val="24"/>
          <w:szCs w:val="24"/>
        </w:rPr>
        <w:t>The forecast underspend mainly relates to premature retirement costs (PRC) for schools based staff.</w:t>
      </w:r>
    </w:p>
    <w:p w:rsidR="00606EEB" w:rsidRPr="00606EEB" w:rsidRDefault="00BC15A2" w:rsidP="00606EEB">
      <w:pPr>
        <w:spacing w:after="0" w:line="240" w:lineRule="auto"/>
        <w:contextualSpacing/>
        <w:rPr>
          <w:rFonts w:ascii="Arial" w:hAnsi="Arial" w:cs="Arial"/>
          <w:b/>
          <w:sz w:val="24"/>
          <w:szCs w:val="24"/>
          <w:highlight w:val="yellow"/>
        </w:rPr>
      </w:pPr>
    </w:p>
    <w:p w:rsidR="00606EEB" w:rsidRPr="008A6E21" w:rsidRDefault="00BC15A2" w:rsidP="00D12D70">
      <w:pPr>
        <w:pStyle w:val="ListParagraph"/>
        <w:numPr>
          <w:ilvl w:val="0"/>
          <w:numId w:val="13"/>
        </w:numPr>
        <w:spacing w:after="0"/>
        <w:rPr>
          <w:rFonts w:ascii="Arial" w:hAnsi="Arial" w:cs="Arial"/>
          <w:b/>
          <w:sz w:val="24"/>
          <w:szCs w:val="24"/>
          <w:u w:val="single"/>
        </w:rPr>
      </w:pPr>
      <w:r w:rsidRPr="008A6E21">
        <w:rPr>
          <w:rFonts w:ascii="Arial" w:hAnsi="Arial" w:cs="Arial"/>
          <w:b/>
          <w:sz w:val="24"/>
          <w:szCs w:val="24"/>
          <w:u w:val="single"/>
        </w:rPr>
        <w:t xml:space="preserve">Growth, Environment and Planning Services </w:t>
      </w:r>
    </w:p>
    <w:p w:rsidR="00606EEB" w:rsidRPr="00606EEB" w:rsidRDefault="00BC15A2" w:rsidP="00606EEB">
      <w:pPr>
        <w:pStyle w:val="ListParagraph"/>
        <w:spacing w:after="0"/>
        <w:ind w:left="-284"/>
        <w:rPr>
          <w:rFonts w:ascii="Arial" w:hAnsi="Arial" w:cs="Arial"/>
          <w:b/>
          <w:sz w:val="24"/>
          <w:szCs w:val="24"/>
          <w:highlight w:val="yellow"/>
          <w:u w:val="single"/>
        </w:rPr>
      </w:pPr>
    </w:p>
    <w:tbl>
      <w:tblPr>
        <w:tblW w:w="14069" w:type="dxa"/>
        <w:tblLook w:val="04A0" w:firstRow="1" w:lastRow="0" w:firstColumn="1" w:lastColumn="0" w:noHBand="0" w:noVBand="1"/>
      </w:tblPr>
      <w:tblGrid>
        <w:gridCol w:w="1727"/>
        <w:gridCol w:w="1314"/>
        <w:gridCol w:w="1314"/>
        <w:gridCol w:w="1314"/>
        <w:gridCol w:w="1104"/>
        <w:gridCol w:w="1032"/>
        <w:gridCol w:w="1032"/>
        <w:gridCol w:w="1104"/>
        <w:gridCol w:w="1032"/>
        <w:gridCol w:w="1032"/>
        <w:gridCol w:w="1032"/>
        <w:gridCol w:w="1032"/>
      </w:tblGrid>
      <w:tr w:rsidR="006A7256" w:rsidTr="00EE57B8">
        <w:trPr>
          <w:trHeight w:val="996"/>
        </w:trPr>
        <w:tc>
          <w:tcPr>
            <w:tcW w:w="1800" w:type="dxa"/>
            <w:tcBorders>
              <w:top w:val="single" w:sz="4" w:space="0" w:color="auto"/>
              <w:left w:val="single" w:sz="4" w:space="0" w:color="auto"/>
              <w:bottom w:val="nil"/>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GROWTH, ENVIRONMENT &amp; PLANNING</w:t>
            </w: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10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105"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EE57B8">
        <w:trPr>
          <w:trHeight w:val="234"/>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EE57B8">
        <w:trPr>
          <w:trHeight w:val="234"/>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LEP COORDINATION</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0.434</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0.434</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-0.184</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-0.184</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0.250</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r>
      <w:tr w:rsidR="006A7256" w:rsidTr="00EE57B8">
        <w:trPr>
          <w:trHeight w:val="234"/>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BUSINESS GROWTH</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6.018</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4.299</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-1.719</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-4.445</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-3.006</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1.439</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1.573</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1.293</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-0.280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-17.80%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-0.055</w:t>
            </w:r>
          </w:p>
        </w:tc>
      </w:tr>
      <w:tr w:rsidR="006A7256" w:rsidTr="00EE57B8">
        <w:trPr>
          <w:trHeight w:val="398"/>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PLANNING AND ENVIRONMENT</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5.149</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5.631</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0.482</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-3.651</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-3.729</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-0.078</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1.498</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1.902</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0.404</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26.97%</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0.495</w:t>
            </w:r>
          </w:p>
        </w:tc>
      </w:tr>
      <w:tr w:rsidR="006A7256" w:rsidTr="00B15B9C">
        <w:trPr>
          <w:trHeight w:val="329"/>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ESTATES</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1.696</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1.550</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-0.146</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-1.165</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-1.207</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-0.042</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0.531</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0.343</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-0.188</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-35.40%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-0.186</w:t>
            </w:r>
          </w:p>
        </w:tc>
      </w:tr>
      <w:tr w:rsidR="006A7256" w:rsidTr="00EE57B8">
        <w:trPr>
          <w:trHeight w:val="398"/>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STRATEGIC DEVELOPMENT</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2.013</w:t>
            </w:r>
          </w:p>
        </w:tc>
        <w:tc>
          <w:tcPr>
            <w:tcW w:w="114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1.959</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-0.054</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-1.604</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-1.520</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0.084</w:t>
            </w:r>
          </w:p>
        </w:tc>
        <w:tc>
          <w:tcPr>
            <w:tcW w:w="110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0.409</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0.439</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0.030</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7.33%</w:t>
            </w:r>
          </w:p>
        </w:tc>
        <w:tc>
          <w:tcPr>
            <w:tcW w:w="1105"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0.061</w:t>
            </w:r>
          </w:p>
        </w:tc>
      </w:tr>
      <w:tr w:rsidR="006A7256" w:rsidTr="00EE57B8">
        <w:trPr>
          <w:trHeight w:val="598"/>
        </w:trPr>
        <w:tc>
          <w:tcPr>
            <w:tcW w:w="180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GROWTH, ENVIRONMENT &amp; PLANNING</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15.310</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13.873</w:t>
            </w:r>
          </w:p>
        </w:tc>
        <w:tc>
          <w:tcPr>
            <w:tcW w:w="114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-1.437</w:t>
            </w:r>
          </w:p>
        </w:tc>
        <w:tc>
          <w:tcPr>
            <w:tcW w:w="110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-11.049</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-9.646</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1.403</w:t>
            </w:r>
          </w:p>
        </w:tc>
        <w:tc>
          <w:tcPr>
            <w:tcW w:w="110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4.261</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4.227</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-0.034</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-0.80%</w:t>
            </w:r>
          </w:p>
        </w:tc>
        <w:tc>
          <w:tcPr>
            <w:tcW w:w="1105"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0.315</w:t>
            </w:r>
          </w:p>
        </w:tc>
      </w:tr>
    </w:tbl>
    <w:p w:rsidR="00606EEB" w:rsidRDefault="00BC15A2" w:rsidP="00606EEB">
      <w:pPr>
        <w:spacing w:after="0"/>
        <w:jc w:val="both"/>
        <w:rPr>
          <w:rFonts w:ascii="Arial" w:hAnsi="Arial" w:cs="Arial"/>
          <w:b/>
          <w:sz w:val="24"/>
          <w:szCs w:val="24"/>
          <w:highlight w:val="yellow"/>
        </w:rPr>
      </w:pPr>
    </w:p>
    <w:p w:rsidR="00EE57B8" w:rsidRPr="00606EEB" w:rsidRDefault="00BC15A2" w:rsidP="00606EEB">
      <w:pPr>
        <w:spacing w:after="0"/>
        <w:jc w:val="both"/>
        <w:rPr>
          <w:rFonts w:ascii="Arial" w:hAnsi="Arial" w:cs="Arial"/>
          <w:b/>
          <w:sz w:val="24"/>
          <w:szCs w:val="24"/>
          <w:highlight w:val="yellow"/>
        </w:rPr>
      </w:pPr>
    </w:p>
    <w:p w:rsidR="00D34F4C" w:rsidRDefault="00BC15A2" w:rsidP="00606EEB">
      <w:pPr>
        <w:spacing w:after="0"/>
        <w:jc w:val="both"/>
        <w:rPr>
          <w:rFonts w:ascii="Arial" w:hAnsi="Arial" w:cs="Arial"/>
          <w:b/>
          <w:sz w:val="24"/>
          <w:szCs w:val="24"/>
        </w:rPr>
      </w:pPr>
    </w:p>
    <w:p w:rsidR="00D34F4C" w:rsidRDefault="00BC15A2" w:rsidP="00606EEB">
      <w:pPr>
        <w:spacing w:after="0"/>
        <w:jc w:val="both"/>
        <w:rPr>
          <w:rFonts w:ascii="Arial" w:hAnsi="Arial" w:cs="Arial"/>
          <w:b/>
          <w:sz w:val="24"/>
          <w:szCs w:val="24"/>
        </w:rPr>
      </w:pPr>
    </w:p>
    <w:p w:rsidR="00606EEB" w:rsidRPr="00780166" w:rsidRDefault="00BC15A2" w:rsidP="00606EEB">
      <w:pPr>
        <w:spacing w:after="0"/>
        <w:jc w:val="both"/>
        <w:rPr>
          <w:rFonts w:ascii="Arial" w:hAnsi="Arial" w:cs="Arial"/>
          <w:b/>
          <w:sz w:val="24"/>
          <w:szCs w:val="24"/>
        </w:rPr>
      </w:pPr>
      <w:r w:rsidRPr="00780166">
        <w:rPr>
          <w:rFonts w:ascii="Arial" w:hAnsi="Arial" w:cs="Arial"/>
          <w:b/>
          <w:sz w:val="24"/>
          <w:szCs w:val="24"/>
        </w:rPr>
        <w:lastRenderedPageBreak/>
        <w:t>Growth, Environment and Planning Services – underspend £34,000</w:t>
      </w:r>
    </w:p>
    <w:p w:rsidR="00606EEB" w:rsidRPr="00606EEB" w:rsidRDefault="00BC15A2" w:rsidP="00606EEB">
      <w:pPr>
        <w:spacing w:after="0"/>
        <w:jc w:val="both"/>
        <w:rPr>
          <w:rFonts w:ascii="Arial" w:hAnsi="Arial" w:cs="Arial"/>
          <w:sz w:val="24"/>
          <w:szCs w:val="24"/>
          <w:highlight w:val="yellow"/>
        </w:rPr>
      </w:pPr>
    </w:p>
    <w:p w:rsidR="00606EEB" w:rsidRPr="00893E47" w:rsidRDefault="00BC15A2" w:rsidP="00606EEB">
      <w:pPr>
        <w:spacing w:after="0"/>
        <w:jc w:val="both"/>
        <w:rPr>
          <w:rFonts w:ascii="Arial" w:hAnsi="Arial" w:cs="Arial"/>
          <w:sz w:val="24"/>
          <w:szCs w:val="24"/>
        </w:rPr>
      </w:pPr>
      <w:r>
        <w:rPr>
          <w:rFonts w:ascii="Arial" w:hAnsi="Arial" w:cs="Arial"/>
          <w:sz w:val="24"/>
          <w:szCs w:val="24"/>
        </w:rPr>
        <w:t>The und</w:t>
      </w:r>
      <w:r w:rsidRPr="00893E47">
        <w:rPr>
          <w:rFonts w:ascii="Arial" w:hAnsi="Arial" w:cs="Arial"/>
          <w:sz w:val="24"/>
          <w:szCs w:val="24"/>
        </w:rPr>
        <w:t>erspend relates to a pressure within planning and environment due to an income shortfall from capital on a highways scheme £500,000 and as a result of contributing to the Transforming Cities Bid £200,000 This is however offset by the Eden project being fun</w:t>
      </w:r>
      <w:r w:rsidRPr="00893E47">
        <w:rPr>
          <w:rFonts w:ascii="Arial" w:hAnsi="Arial" w:cs="Arial"/>
          <w:sz w:val="24"/>
          <w:szCs w:val="24"/>
        </w:rPr>
        <w:t xml:space="preserve">ded from reserves £250,000 lower than forecast expenditure on traveller sites £188,000 with the remainder being from staff underspends across the service. </w:t>
      </w:r>
    </w:p>
    <w:p w:rsidR="00606EEB" w:rsidRPr="00893E47" w:rsidRDefault="00BC15A2" w:rsidP="00606EEB">
      <w:pPr>
        <w:spacing w:after="0"/>
        <w:rPr>
          <w:rFonts w:ascii="Arial" w:hAnsi="Arial" w:cs="Arial"/>
          <w:sz w:val="24"/>
          <w:szCs w:val="24"/>
        </w:rPr>
      </w:pPr>
    </w:p>
    <w:p w:rsidR="00606EEB" w:rsidRPr="00893E47" w:rsidRDefault="00BC15A2" w:rsidP="00D12D70">
      <w:pPr>
        <w:pStyle w:val="ListParagraph"/>
        <w:numPr>
          <w:ilvl w:val="0"/>
          <w:numId w:val="13"/>
        </w:numPr>
        <w:spacing w:after="0"/>
        <w:rPr>
          <w:rFonts w:ascii="Arial" w:hAnsi="Arial" w:cs="Arial"/>
          <w:b/>
          <w:sz w:val="24"/>
          <w:szCs w:val="24"/>
          <w:u w:val="single"/>
        </w:rPr>
      </w:pPr>
      <w:r w:rsidRPr="00893E47">
        <w:rPr>
          <w:rFonts w:ascii="Arial" w:hAnsi="Arial" w:cs="Arial"/>
          <w:b/>
          <w:sz w:val="24"/>
          <w:szCs w:val="24"/>
          <w:u w:val="single"/>
        </w:rPr>
        <w:t xml:space="preserve">Highways and Transport </w:t>
      </w:r>
    </w:p>
    <w:p w:rsidR="00606EEB" w:rsidRPr="00606EEB" w:rsidRDefault="00BC15A2" w:rsidP="00606EEB">
      <w:pPr>
        <w:pStyle w:val="ListParagraph"/>
        <w:spacing w:after="0"/>
        <w:ind w:left="-284"/>
        <w:rPr>
          <w:rFonts w:ascii="Arial" w:hAnsi="Arial" w:cs="Arial"/>
          <w:b/>
          <w:sz w:val="24"/>
          <w:szCs w:val="24"/>
          <w:highlight w:val="yellow"/>
          <w:u w:val="single"/>
        </w:rPr>
      </w:pPr>
    </w:p>
    <w:tbl>
      <w:tblPr>
        <w:tblW w:w="13969" w:type="dxa"/>
        <w:tblLook w:val="04A0" w:firstRow="1" w:lastRow="0" w:firstColumn="1" w:lastColumn="0" w:noHBand="0" w:noVBand="1"/>
      </w:tblPr>
      <w:tblGrid>
        <w:gridCol w:w="1749"/>
        <w:gridCol w:w="1314"/>
        <w:gridCol w:w="1314"/>
        <w:gridCol w:w="1314"/>
        <w:gridCol w:w="1103"/>
        <w:gridCol w:w="1012"/>
        <w:gridCol w:w="1012"/>
        <w:gridCol w:w="1103"/>
        <w:gridCol w:w="1012"/>
        <w:gridCol w:w="1012"/>
        <w:gridCol w:w="1012"/>
        <w:gridCol w:w="1012"/>
      </w:tblGrid>
      <w:tr w:rsidR="006A7256" w:rsidTr="00EE57B8">
        <w:trPr>
          <w:trHeight w:val="947"/>
        </w:trPr>
        <w:tc>
          <w:tcPr>
            <w:tcW w:w="1788" w:type="dxa"/>
            <w:tcBorders>
              <w:top w:val="single" w:sz="4" w:space="0" w:color="auto"/>
              <w:left w:val="single" w:sz="4" w:space="0" w:color="auto"/>
              <w:bottom w:val="nil"/>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HIGHWAYS AND TRANSPORT</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w:t>
            </w:r>
            <w:r w:rsidRPr="00FF0E49">
              <w:rPr>
                <w:rFonts w:ascii="Arial" w:eastAsia="Times New Roman" w:hAnsi="Arial" w:cs="Arial"/>
                <w:b/>
                <w:bCs/>
                <w:color w:val="000000"/>
                <w:sz w:val="19"/>
                <w:szCs w:val="19"/>
                <w:lang w:eastAsia="en-GB"/>
              </w:rPr>
              <w:t>ent Period Net Forecast Variance</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097"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EE57B8">
        <w:trPr>
          <w:trHeight w:val="223"/>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0"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0"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431"/>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WASTE MGT</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78.871</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75.403</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-3.468</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-12.882</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-11.334</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1.548</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65.989</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64.069</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-1.920</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-2.91%</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-1.809</w:t>
            </w:r>
          </w:p>
        </w:tc>
      </w:tr>
      <w:tr w:rsidR="006A7256" w:rsidTr="00B15B9C">
        <w:trPr>
          <w:trHeight w:val="409"/>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HIGHWAYS</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51.187</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50.544</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-0.643</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-39.115</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-37.927</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1.188</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12.072</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12.617</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0.545</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4.51%</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0.026</w:t>
            </w:r>
          </w:p>
        </w:tc>
      </w:tr>
      <w:tr w:rsidR="006A7256" w:rsidTr="00EE57B8">
        <w:trPr>
          <w:trHeight w:val="568"/>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PUBLIC &amp; INTEGRATED TRANSPORT</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78.774</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79.058</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0.284</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-31.143</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-29.872</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1.271</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47.631</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49.186</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1.555</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3.26%</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1.332</w:t>
            </w:r>
          </w:p>
        </w:tc>
      </w:tr>
      <w:tr w:rsidR="006A7256" w:rsidTr="00EE57B8">
        <w:trPr>
          <w:trHeight w:val="223"/>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CUSTOMER ACCESS</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5.683</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5.658</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-0.025</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-2.364</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-2.664</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-0.300</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3.319</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2.994</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-0.325</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-9.79%</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-0.325</w:t>
            </w:r>
          </w:p>
        </w:tc>
      </w:tr>
      <w:tr w:rsidR="006A7256" w:rsidTr="00EE57B8">
        <w:trPr>
          <w:trHeight w:val="379"/>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DESIGN and </w:t>
            </w:r>
            <w:r w:rsidRPr="00FF0E49">
              <w:rPr>
                <w:rFonts w:ascii="Arial" w:eastAsia="Times New Roman" w:hAnsi="Arial" w:cs="Arial"/>
                <w:b/>
                <w:bCs/>
                <w:color w:val="000000"/>
                <w:sz w:val="19"/>
                <w:szCs w:val="19"/>
                <w:lang w:eastAsia="en-GB"/>
              </w:rPr>
              <w:t>CONSTRUCTION</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18.206</w:t>
            </w:r>
          </w:p>
        </w:tc>
        <w:tc>
          <w:tcPr>
            <w:tcW w:w="1133"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16.980</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-1.226</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-21.192</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-18.603</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2.589</w:t>
            </w:r>
          </w:p>
        </w:tc>
        <w:tc>
          <w:tcPr>
            <w:tcW w:w="1100"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-2.986</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-1.623</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1.363</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45.65%</w:t>
            </w:r>
          </w:p>
        </w:tc>
        <w:tc>
          <w:tcPr>
            <w:tcW w:w="1097"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1.209</w:t>
            </w:r>
          </w:p>
        </w:tc>
      </w:tr>
      <w:tr w:rsidR="006A7256" w:rsidTr="00EE57B8">
        <w:trPr>
          <w:trHeight w:val="379"/>
        </w:trPr>
        <w:tc>
          <w:tcPr>
            <w:tcW w:w="1788"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HIGHWAYS AND TRANSPORT</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232.721</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227.643</w:t>
            </w:r>
          </w:p>
        </w:tc>
        <w:tc>
          <w:tcPr>
            <w:tcW w:w="1133"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-5.078</w:t>
            </w:r>
          </w:p>
        </w:tc>
        <w:tc>
          <w:tcPr>
            <w:tcW w:w="1100"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-106.696</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-100.400</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6.296</w:t>
            </w:r>
          </w:p>
        </w:tc>
        <w:tc>
          <w:tcPr>
            <w:tcW w:w="1100"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126.025</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127.243</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1.218</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0.97%</w:t>
            </w:r>
          </w:p>
        </w:tc>
        <w:tc>
          <w:tcPr>
            <w:tcW w:w="1097"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0.433</w:t>
            </w:r>
          </w:p>
        </w:tc>
      </w:tr>
    </w:tbl>
    <w:p w:rsidR="00606EEB" w:rsidRDefault="00BC15A2" w:rsidP="00606EEB">
      <w:pPr>
        <w:spacing w:after="0" w:line="240" w:lineRule="auto"/>
        <w:contextualSpacing/>
        <w:rPr>
          <w:rFonts w:ascii="Arial" w:hAnsi="Arial" w:cs="Arial"/>
          <w:b/>
          <w:sz w:val="24"/>
          <w:szCs w:val="24"/>
          <w:highlight w:val="yellow"/>
        </w:rPr>
      </w:pPr>
    </w:p>
    <w:p w:rsidR="00D217D0" w:rsidRPr="00606EEB" w:rsidRDefault="00BC15A2" w:rsidP="00606EEB">
      <w:pPr>
        <w:spacing w:after="0" w:line="240" w:lineRule="auto"/>
        <w:contextualSpacing/>
        <w:rPr>
          <w:rFonts w:ascii="Arial" w:hAnsi="Arial" w:cs="Arial"/>
          <w:b/>
          <w:sz w:val="24"/>
          <w:szCs w:val="24"/>
          <w:highlight w:val="yellow"/>
        </w:rPr>
      </w:pPr>
    </w:p>
    <w:p w:rsidR="00606EEB" w:rsidRPr="00893E47" w:rsidRDefault="00BC15A2" w:rsidP="00606EEB">
      <w:pPr>
        <w:spacing w:after="0" w:line="240" w:lineRule="auto"/>
        <w:contextualSpacing/>
        <w:rPr>
          <w:rFonts w:ascii="Arial" w:hAnsi="Arial" w:cs="Arial"/>
          <w:b/>
          <w:sz w:val="24"/>
          <w:szCs w:val="24"/>
        </w:rPr>
      </w:pPr>
      <w:r w:rsidRPr="00893E47">
        <w:rPr>
          <w:rFonts w:ascii="Arial" w:hAnsi="Arial" w:cs="Arial"/>
          <w:b/>
          <w:sz w:val="24"/>
          <w:szCs w:val="24"/>
        </w:rPr>
        <w:t>Highways and Transport – forecast overspend £1.218m</w:t>
      </w:r>
    </w:p>
    <w:p w:rsidR="00606EEB" w:rsidRPr="00606EEB" w:rsidRDefault="00BC15A2" w:rsidP="00606EEB">
      <w:pPr>
        <w:spacing w:after="0" w:line="240" w:lineRule="auto"/>
        <w:contextualSpacing/>
        <w:rPr>
          <w:rFonts w:ascii="Arial" w:hAnsi="Arial" w:cs="Arial"/>
          <w:b/>
          <w:sz w:val="24"/>
          <w:szCs w:val="24"/>
          <w:highlight w:val="yellow"/>
        </w:rPr>
      </w:pPr>
    </w:p>
    <w:p w:rsidR="00606EEB" w:rsidRPr="00893E47" w:rsidRDefault="00BC15A2" w:rsidP="00606EEB">
      <w:pPr>
        <w:spacing w:after="0" w:line="240" w:lineRule="auto"/>
        <w:contextualSpacing/>
        <w:rPr>
          <w:rFonts w:ascii="Arial" w:hAnsi="Arial" w:cs="Arial"/>
          <w:b/>
          <w:sz w:val="24"/>
          <w:szCs w:val="24"/>
        </w:rPr>
      </w:pPr>
      <w:r w:rsidRPr="00893E47">
        <w:rPr>
          <w:rFonts w:ascii="Arial" w:hAnsi="Arial" w:cs="Arial"/>
          <w:b/>
          <w:sz w:val="24"/>
          <w:szCs w:val="24"/>
        </w:rPr>
        <w:t>Waste Management – forecast underspend £1.920m</w:t>
      </w:r>
    </w:p>
    <w:p w:rsidR="00606EEB" w:rsidRPr="00893E47" w:rsidRDefault="00BC15A2" w:rsidP="00606EEB">
      <w:pPr>
        <w:spacing w:after="0" w:line="240" w:lineRule="auto"/>
        <w:contextualSpacing/>
        <w:jc w:val="both"/>
        <w:rPr>
          <w:rFonts w:ascii="Arial" w:hAnsi="Arial" w:cs="Arial"/>
          <w:sz w:val="24"/>
          <w:szCs w:val="24"/>
        </w:rPr>
      </w:pPr>
      <w:r w:rsidRPr="00893E47">
        <w:rPr>
          <w:rFonts w:ascii="Arial" w:hAnsi="Arial" w:cs="Arial"/>
          <w:sz w:val="24"/>
          <w:szCs w:val="24"/>
        </w:rPr>
        <w:t xml:space="preserve">The service is forecast to underspend due to a combination of factors. The waste service is expected to deliver an underspend of £3.366m as a result of lower than budgeted waste </w:t>
      </w:r>
      <w:proofErr w:type="spellStart"/>
      <w:r w:rsidRPr="00893E47">
        <w:rPr>
          <w:rFonts w:ascii="Arial" w:hAnsi="Arial" w:cs="Arial"/>
          <w:sz w:val="24"/>
          <w:szCs w:val="24"/>
        </w:rPr>
        <w:t>arisings</w:t>
      </w:r>
      <w:proofErr w:type="spellEnd"/>
      <w:r w:rsidRPr="00893E47">
        <w:rPr>
          <w:rFonts w:ascii="Arial" w:hAnsi="Arial" w:cs="Arial"/>
          <w:sz w:val="24"/>
          <w:szCs w:val="24"/>
        </w:rPr>
        <w:t xml:space="preserve"> and waste being divert</w:t>
      </w:r>
      <w:r w:rsidRPr="00893E47">
        <w:rPr>
          <w:rFonts w:ascii="Arial" w:hAnsi="Arial" w:cs="Arial"/>
          <w:sz w:val="24"/>
          <w:szCs w:val="24"/>
        </w:rPr>
        <w:t xml:space="preserve">ed from landfill at lower than budgeted prices, </w:t>
      </w:r>
      <w:r w:rsidRPr="00893E47">
        <w:rPr>
          <w:rFonts w:ascii="Arial" w:hAnsi="Arial" w:cs="Arial"/>
          <w:sz w:val="24"/>
          <w:szCs w:val="24"/>
        </w:rPr>
        <w:lastRenderedPageBreak/>
        <w:t xml:space="preserve">partly due to the use of our own fleet of vehicles to transport waste. Waste </w:t>
      </w:r>
      <w:proofErr w:type="spellStart"/>
      <w:r w:rsidRPr="00893E47">
        <w:rPr>
          <w:rFonts w:ascii="Arial" w:hAnsi="Arial" w:cs="Arial"/>
          <w:sz w:val="24"/>
          <w:szCs w:val="24"/>
        </w:rPr>
        <w:t>arisings</w:t>
      </w:r>
      <w:proofErr w:type="spellEnd"/>
      <w:r w:rsidRPr="00893E47">
        <w:rPr>
          <w:rFonts w:ascii="Arial" w:hAnsi="Arial" w:cs="Arial"/>
          <w:sz w:val="24"/>
          <w:szCs w:val="24"/>
        </w:rPr>
        <w:t xml:space="preserve"> are currently forecast to be low but this may change and will continue to be monitored throughout the financial year. Ther</w:t>
      </w:r>
      <w:r w:rsidRPr="00893E47">
        <w:rPr>
          <w:rFonts w:ascii="Arial" w:hAnsi="Arial" w:cs="Arial"/>
          <w:sz w:val="24"/>
          <w:szCs w:val="24"/>
        </w:rPr>
        <w:t>e are also lower tonnages of green waste arising.</w:t>
      </w:r>
    </w:p>
    <w:p w:rsidR="00606EEB" w:rsidRPr="00893E47" w:rsidRDefault="00BC15A2" w:rsidP="00606EEB">
      <w:pPr>
        <w:spacing w:after="0"/>
        <w:jc w:val="both"/>
        <w:rPr>
          <w:rFonts w:ascii="Arial" w:hAnsi="Arial" w:cs="Arial"/>
          <w:sz w:val="24"/>
          <w:szCs w:val="24"/>
        </w:rPr>
      </w:pPr>
    </w:p>
    <w:p w:rsidR="00606EEB" w:rsidRPr="00893E47" w:rsidRDefault="00BC15A2" w:rsidP="00606EEB">
      <w:pPr>
        <w:spacing w:after="0"/>
        <w:jc w:val="both"/>
        <w:rPr>
          <w:rFonts w:ascii="Arial" w:hAnsi="Arial" w:cs="Arial"/>
          <w:sz w:val="24"/>
          <w:szCs w:val="24"/>
        </w:rPr>
      </w:pPr>
      <w:r w:rsidRPr="00893E47">
        <w:rPr>
          <w:rFonts w:ascii="Arial" w:hAnsi="Arial" w:cs="Arial"/>
          <w:sz w:val="24"/>
          <w:szCs w:val="24"/>
        </w:rPr>
        <w:t>Partly offsetting the underspends are budget pressures relating to income received for recycled waste, particularly paper and card, resulting in forecast overspends of £1.052m</w:t>
      </w:r>
      <w:r w:rsidRPr="00893E47">
        <w:rPr>
          <w:rFonts w:ascii="Arial" w:hAnsi="Arial" w:cs="Arial"/>
          <w:sz w:val="24"/>
          <w:szCs w:val="24"/>
        </w:rPr>
        <w:t xml:space="preserve">. These markets are volatile so the position is likely to be subject to change throughout the financial year. In addition, a pressure of £702,000 is forecast due to increased insurance costs for the waste sites. </w:t>
      </w:r>
    </w:p>
    <w:p w:rsidR="00606EEB" w:rsidRPr="00606EEB" w:rsidRDefault="00BC15A2" w:rsidP="00606EEB">
      <w:pPr>
        <w:pStyle w:val="ListParagraph"/>
        <w:spacing w:after="0" w:line="240" w:lineRule="auto"/>
        <w:rPr>
          <w:rFonts w:ascii="Arial" w:hAnsi="Arial" w:cs="Arial"/>
          <w:sz w:val="24"/>
          <w:szCs w:val="24"/>
          <w:highlight w:val="yellow"/>
        </w:rPr>
      </w:pPr>
    </w:p>
    <w:p w:rsidR="00606EEB" w:rsidRPr="00893E47" w:rsidRDefault="00BC15A2" w:rsidP="00606EEB">
      <w:pPr>
        <w:spacing w:after="0" w:line="240" w:lineRule="auto"/>
        <w:jc w:val="both"/>
        <w:rPr>
          <w:rFonts w:ascii="Arial" w:hAnsi="Arial" w:cs="Arial"/>
          <w:b/>
          <w:sz w:val="24"/>
          <w:szCs w:val="24"/>
        </w:rPr>
      </w:pPr>
      <w:r w:rsidRPr="00893E47">
        <w:rPr>
          <w:rFonts w:ascii="Arial" w:hAnsi="Arial" w:cs="Arial"/>
          <w:b/>
          <w:sz w:val="24"/>
          <w:szCs w:val="24"/>
        </w:rPr>
        <w:t>Highways – forecast overspend £545,000</w:t>
      </w:r>
    </w:p>
    <w:p w:rsidR="00606EEB" w:rsidRPr="00893E47" w:rsidRDefault="00BC15A2" w:rsidP="00606EEB">
      <w:pPr>
        <w:spacing w:after="0" w:line="240" w:lineRule="auto"/>
        <w:jc w:val="both"/>
        <w:rPr>
          <w:rFonts w:ascii="Arial" w:hAnsi="Arial" w:cs="Arial"/>
          <w:b/>
          <w:sz w:val="24"/>
          <w:szCs w:val="24"/>
        </w:rPr>
      </w:pPr>
      <w:r w:rsidRPr="00893E47">
        <w:rPr>
          <w:rFonts w:ascii="Arial" w:hAnsi="Arial" w:cs="Arial"/>
          <w:sz w:val="24"/>
          <w:szCs w:val="24"/>
        </w:rPr>
        <w:t>The</w:t>
      </w:r>
      <w:r w:rsidRPr="00893E47">
        <w:rPr>
          <w:rFonts w:ascii="Arial" w:hAnsi="Arial" w:cs="Arial"/>
          <w:sz w:val="24"/>
          <w:szCs w:val="24"/>
        </w:rPr>
        <w:t xml:space="preserve"> forecast overspend of £500,000 predominantly relates to plant utilisation. This was a significant pressure in 2018/19 and steps have been taken to reduce this including the sale of some plant that was not sufficiently utilised</w:t>
      </w:r>
      <w:r w:rsidRPr="00893E47">
        <w:rPr>
          <w:rFonts w:ascii="Arial" w:hAnsi="Arial" w:cs="Arial"/>
          <w:b/>
          <w:sz w:val="24"/>
          <w:szCs w:val="24"/>
        </w:rPr>
        <w:t xml:space="preserve">.   </w:t>
      </w:r>
    </w:p>
    <w:p w:rsidR="00606EEB" w:rsidRPr="00606EEB" w:rsidRDefault="00BC15A2" w:rsidP="00606EEB">
      <w:pPr>
        <w:spacing w:after="0" w:line="240" w:lineRule="auto"/>
        <w:contextualSpacing/>
        <w:jc w:val="both"/>
        <w:rPr>
          <w:rFonts w:ascii="Arial" w:hAnsi="Arial" w:cs="Arial"/>
          <w:sz w:val="24"/>
          <w:szCs w:val="24"/>
          <w:highlight w:val="yellow"/>
        </w:rPr>
      </w:pPr>
    </w:p>
    <w:p w:rsidR="00606EEB" w:rsidRPr="00893E47" w:rsidRDefault="00BC15A2" w:rsidP="00606EEB">
      <w:pPr>
        <w:spacing w:after="0" w:line="240" w:lineRule="auto"/>
        <w:contextualSpacing/>
        <w:rPr>
          <w:rFonts w:ascii="Arial" w:hAnsi="Arial" w:cs="Arial"/>
          <w:b/>
          <w:sz w:val="24"/>
          <w:szCs w:val="24"/>
        </w:rPr>
      </w:pPr>
      <w:r w:rsidRPr="00893E47">
        <w:rPr>
          <w:rFonts w:ascii="Arial" w:hAnsi="Arial" w:cs="Arial"/>
          <w:b/>
          <w:sz w:val="24"/>
          <w:szCs w:val="24"/>
        </w:rPr>
        <w:t>Public and Integrated T</w:t>
      </w:r>
      <w:r w:rsidRPr="00893E47">
        <w:rPr>
          <w:rFonts w:ascii="Arial" w:hAnsi="Arial" w:cs="Arial"/>
          <w:b/>
          <w:sz w:val="24"/>
          <w:szCs w:val="24"/>
        </w:rPr>
        <w:t>ransport – Forecast overspend £1.555m</w:t>
      </w:r>
    </w:p>
    <w:p w:rsidR="00606EEB" w:rsidRPr="00893E47" w:rsidRDefault="00BC15A2" w:rsidP="00606EEB">
      <w:pPr>
        <w:spacing w:after="0" w:line="240" w:lineRule="auto"/>
        <w:jc w:val="both"/>
        <w:rPr>
          <w:rFonts w:ascii="Arial" w:hAnsi="Arial" w:cs="Arial"/>
          <w:sz w:val="24"/>
          <w:szCs w:val="24"/>
        </w:rPr>
      </w:pPr>
      <w:r w:rsidRPr="00893E47">
        <w:rPr>
          <w:rFonts w:ascii="Arial" w:hAnsi="Arial" w:cs="Arial"/>
          <w:sz w:val="24"/>
          <w:szCs w:val="24"/>
        </w:rPr>
        <w:t>The main overspending area within the service relates to transport costs particularly for children with special educational needs. This is a combination of delayed delivery of savings relating to independent travel tra</w:t>
      </w:r>
      <w:r w:rsidRPr="00893E47">
        <w:rPr>
          <w:rFonts w:ascii="Arial" w:hAnsi="Arial" w:cs="Arial"/>
          <w:sz w:val="24"/>
          <w:szCs w:val="24"/>
        </w:rPr>
        <w:t>ining £1.000m and increased inflation and demand over and above what was included in the budget for taxi costs and increases in passenger numbers £700,000.</w:t>
      </w:r>
      <w:r>
        <w:rPr>
          <w:rFonts w:ascii="Arial" w:hAnsi="Arial" w:cs="Arial"/>
          <w:sz w:val="24"/>
          <w:szCs w:val="24"/>
        </w:rPr>
        <w:t xml:space="preserve"> </w:t>
      </w:r>
      <w:r w:rsidRPr="00893E47">
        <w:rPr>
          <w:rFonts w:ascii="Arial" w:hAnsi="Arial" w:cs="Arial"/>
          <w:sz w:val="24"/>
          <w:szCs w:val="24"/>
        </w:rPr>
        <w:t xml:space="preserve">In addition there are forecast income pressures of £1.000m for the tendered public bus network. The </w:t>
      </w:r>
      <w:r w:rsidRPr="00893E47">
        <w:rPr>
          <w:rFonts w:ascii="Arial" w:hAnsi="Arial" w:cs="Arial"/>
          <w:sz w:val="24"/>
          <w:szCs w:val="24"/>
        </w:rPr>
        <w:t>budget for this service was increased to £3.000m in 2018/19 with additional routes being introduced, however, fare income is lower than originally anticipated. Work is ongoing to review services to bring spend within budget. A further income pressure of £2</w:t>
      </w:r>
      <w:r w:rsidRPr="00893E47">
        <w:rPr>
          <w:rFonts w:ascii="Arial" w:hAnsi="Arial" w:cs="Arial"/>
          <w:sz w:val="24"/>
          <w:szCs w:val="24"/>
        </w:rPr>
        <w:t>00,000 is forecast for bus stations. Departure charges are, however, due to rise incrementally over the next 3 years which will reduce this pressure over time.</w:t>
      </w:r>
    </w:p>
    <w:p w:rsidR="00606EEB" w:rsidRPr="00893E47" w:rsidRDefault="00BC15A2" w:rsidP="00606EEB">
      <w:pPr>
        <w:spacing w:after="0" w:line="240" w:lineRule="auto"/>
        <w:rPr>
          <w:rFonts w:ascii="Arial" w:hAnsi="Arial" w:cs="Arial"/>
          <w:sz w:val="24"/>
          <w:szCs w:val="24"/>
        </w:rPr>
      </w:pPr>
    </w:p>
    <w:p w:rsidR="00606EEB" w:rsidRPr="00893E47" w:rsidRDefault="00BC15A2" w:rsidP="00606EEB">
      <w:pPr>
        <w:spacing w:after="0" w:line="240" w:lineRule="auto"/>
        <w:rPr>
          <w:rFonts w:ascii="Arial" w:hAnsi="Arial" w:cs="Arial"/>
          <w:sz w:val="24"/>
          <w:szCs w:val="24"/>
        </w:rPr>
      </w:pPr>
      <w:r w:rsidRPr="00893E47">
        <w:rPr>
          <w:rFonts w:ascii="Arial" w:hAnsi="Arial" w:cs="Arial"/>
          <w:sz w:val="24"/>
          <w:szCs w:val="24"/>
        </w:rPr>
        <w:t>The above is partly offset by forecast underspends of £1.400m on concessionary travel due to lo</w:t>
      </w:r>
      <w:r w:rsidRPr="00893E47">
        <w:rPr>
          <w:rFonts w:ascii="Arial" w:hAnsi="Arial" w:cs="Arial"/>
          <w:sz w:val="24"/>
          <w:szCs w:val="24"/>
        </w:rPr>
        <w:t>wer demand.   This will continue to be monitored throughout 2019/20.</w:t>
      </w:r>
    </w:p>
    <w:p w:rsidR="00606EEB" w:rsidRPr="008D7392" w:rsidRDefault="00BC15A2" w:rsidP="00606EEB">
      <w:pPr>
        <w:spacing w:after="0" w:line="240" w:lineRule="auto"/>
        <w:rPr>
          <w:rFonts w:ascii="Arial" w:hAnsi="Arial" w:cs="Arial"/>
          <w:b/>
          <w:sz w:val="24"/>
          <w:szCs w:val="24"/>
        </w:rPr>
      </w:pPr>
    </w:p>
    <w:p w:rsidR="00606EEB" w:rsidRPr="008D7392" w:rsidRDefault="00BC15A2" w:rsidP="00606EEB">
      <w:pPr>
        <w:spacing w:after="0" w:line="240" w:lineRule="auto"/>
        <w:rPr>
          <w:rFonts w:ascii="Arial" w:hAnsi="Arial" w:cs="Arial"/>
          <w:b/>
          <w:sz w:val="24"/>
          <w:szCs w:val="24"/>
        </w:rPr>
      </w:pPr>
      <w:r w:rsidRPr="008D7392">
        <w:rPr>
          <w:rFonts w:ascii="Arial" w:hAnsi="Arial" w:cs="Arial"/>
          <w:b/>
          <w:sz w:val="24"/>
          <w:szCs w:val="24"/>
        </w:rPr>
        <w:t>Customer Access – forecast underspend £325,000</w:t>
      </w:r>
    </w:p>
    <w:p w:rsidR="00606EEB" w:rsidRPr="008D7392" w:rsidRDefault="00BC15A2" w:rsidP="00606EEB">
      <w:pPr>
        <w:spacing w:after="0" w:line="240" w:lineRule="auto"/>
        <w:rPr>
          <w:rFonts w:ascii="Arial" w:hAnsi="Arial" w:cs="Arial"/>
          <w:b/>
          <w:sz w:val="24"/>
          <w:szCs w:val="24"/>
        </w:rPr>
      </w:pPr>
      <w:r w:rsidRPr="008D7392">
        <w:rPr>
          <w:rFonts w:ascii="Arial" w:hAnsi="Arial" w:cs="Arial"/>
          <w:sz w:val="24"/>
          <w:szCs w:val="24"/>
        </w:rPr>
        <w:t xml:space="preserve">The forecast position predominantly relates to additional income. </w:t>
      </w:r>
    </w:p>
    <w:p w:rsidR="00606EEB" w:rsidRPr="008D7392" w:rsidRDefault="00BC15A2" w:rsidP="00606EEB">
      <w:pPr>
        <w:spacing w:after="0" w:line="240" w:lineRule="auto"/>
        <w:rPr>
          <w:rFonts w:ascii="Arial" w:hAnsi="Arial" w:cs="Arial"/>
          <w:sz w:val="24"/>
          <w:szCs w:val="24"/>
        </w:rPr>
      </w:pPr>
    </w:p>
    <w:p w:rsidR="00606EEB" w:rsidRPr="008D7392" w:rsidRDefault="00BC15A2" w:rsidP="00606EEB">
      <w:pPr>
        <w:spacing w:after="0" w:line="240" w:lineRule="auto"/>
        <w:rPr>
          <w:rFonts w:ascii="Arial" w:hAnsi="Arial" w:cs="Arial"/>
          <w:b/>
          <w:sz w:val="24"/>
          <w:szCs w:val="24"/>
        </w:rPr>
      </w:pPr>
      <w:r w:rsidRPr="008D7392">
        <w:rPr>
          <w:rFonts w:ascii="Arial" w:hAnsi="Arial" w:cs="Arial"/>
          <w:b/>
          <w:sz w:val="24"/>
          <w:szCs w:val="24"/>
        </w:rPr>
        <w:t>Design and Construction – forecast Overspend £1.363m</w:t>
      </w:r>
    </w:p>
    <w:p w:rsidR="00606EEB" w:rsidRPr="008D7392" w:rsidRDefault="00BC15A2" w:rsidP="00606EEB">
      <w:pPr>
        <w:spacing w:after="0" w:line="240" w:lineRule="auto"/>
        <w:contextualSpacing/>
        <w:jc w:val="both"/>
        <w:rPr>
          <w:rFonts w:ascii="Arial" w:hAnsi="Arial" w:cs="Arial"/>
          <w:sz w:val="24"/>
          <w:szCs w:val="24"/>
        </w:rPr>
      </w:pPr>
      <w:r w:rsidRPr="008D7392">
        <w:rPr>
          <w:rFonts w:ascii="Arial" w:hAnsi="Arial" w:cs="Arial"/>
          <w:sz w:val="24"/>
          <w:szCs w:val="24"/>
        </w:rPr>
        <w:t xml:space="preserve">Design and </w:t>
      </w:r>
      <w:r w:rsidRPr="008D7392">
        <w:rPr>
          <w:rFonts w:ascii="Arial" w:hAnsi="Arial" w:cs="Arial"/>
          <w:sz w:val="24"/>
          <w:szCs w:val="24"/>
        </w:rPr>
        <w:t>construction property is forecast to overspend by £917,000. Lower than forecast income recovery of £1.692m is expected largely due to a larger number of smaller projects which tends to require a proportionately greater staffing resource.  This is partly of</w:t>
      </w:r>
      <w:r w:rsidRPr="008D7392">
        <w:rPr>
          <w:rFonts w:ascii="Arial" w:hAnsi="Arial" w:cs="Arial"/>
          <w:sz w:val="24"/>
          <w:szCs w:val="24"/>
        </w:rPr>
        <w:t>fset by forecast underspends of £775,000 on staffing and agency costs. Depending on levels of work the service flexes staffing resource, particularly reliance on agency staff, but the mix of projects being delivered in 2019/20 means the staffing underspend</w:t>
      </w:r>
      <w:r w:rsidRPr="008D7392">
        <w:rPr>
          <w:rFonts w:ascii="Arial" w:hAnsi="Arial" w:cs="Arial"/>
          <w:sz w:val="24"/>
          <w:szCs w:val="24"/>
        </w:rPr>
        <w:t xml:space="preserve"> is significantly lower than reduced income levels.</w:t>
      </w:r>
      <w:r>
        <w:rPr>
          <w:rFonts w:ascii="Arial" w:hAnsi="Arial" w:cs="Arial"/>
          <w:sz w:val="24"/>
          <w:szCs w:val="24"/>
        </w:rPr>
        <w:t xml:space="preserve"> </w:t>
      </w:r>
      <w:r w:rsidRPr="008D7392">
        <w:rPr>
          <w:rFonts w:ascii="Arial" w:hAnsi="Arial" w:cs="Arial"/>
          <w:sz w:val="24"/>
          <w:szCs w:val="24"/>
        </w:rPr>
        <w:t>Design and construction highways is forecast to overspend by £446,000. There are currently several vacancies so whilst there is a significant staffing underspend there is a greater under recovery of incom</w:t>
      </w:r>
      <w:r w:rsidRPr="008D7392">
        <w:rPr>
          <w:rFonts w:ascii="Arial" w:hAnsi="Arial" w:cs="Arial"/>
          <w:sz w:val="24"/>
          <w:szCs w:val="24"/>
        </w:rPr>
        <w:t>e since this is an income generating service.</w:t>
      </w:r>
    </w:p>
    <w:p w:rsidR="00606EEB" w:rsidRDefault="00BC15A2" w:rsidP="00606EEB">
      <w:pPr>
        <w:spacing w:after="0" w:line="240" w:lineRule="auto"/>
        <w:contextualSpacing/>
        <w:jc w:val="both"/>
        <w:rPr>
          <w:rFonts w:ascii="Arial" w:hAnsi="Arial" w:cs="Arial"/>
          <w:sz w:val="24"/>
          <w:szCs w:val="24"/>
          <w:highlight w:val="yellow"/>
        </w:rPr>
      </w:pPr>
    </w:p>
    <w:p w:rsidR="00C943E7" w:rsidRPr="00606EEB" w:rsidRDefault="00BC15A2" w:rsidP="00606EEB">
      <w:pPr>
        <w:spacing w:after="0" w:line="240" w:lineRule="auto"/>
        <w:contextualSpacing/>
        <w:jc w:val="both"/>
        <w:rPr>
          <w:rFonts w:ascii="Arial" w:hAnsi="Arial" w:cs="Arial"/>
          <w:sz w:val="24"/>
          <w:szCs w:val="24"/>
          <w:highlight w:val="yellow"/>
        </w:rPr>
      </w:pPr>
    </w:p>
    <w:p w:rsidR="00606EEB" w:rsidRPr="00D217D0" w:rsidRDefault="00BC15A2" w:rsidP="003F05E4">
      <w:pPr>
        <w:pStyle w:val="ListParagraph"/>
        <w:numPr>
          <w:ilvl w:val="0"/>
          <w:numId w:val="13"/>
        </w:numPr>
        <w:spacing w:after="0"/>
        <w:ind w:left="142" w:hanging="142"/>
        <w:rPr>
          <w:rFonts w:ascii="Arial" w:hAnsi="Arial" w:cs="Arial"/>
          <w:b/>
          <w:sz w:val="24"/>
          <w:szCs w:val="24"/>
          <w:u w:val="single"/>
        </w:rPr>
      </w:pPr>
      <w:r w:rsidRPr="00D217D0">
        <w:rPr>
          <w:rFonts w:ascii="Arial" w:hAnsi="Arial" w:cs="Arial"/>
          <w:b/>
          <w:sz w:val="24"/>
          <w:szCs w:val="24"/>
          <w:u w:val="single"/>
        </w:rPr>
        <w:t xml:space="preserve">Finance </w:t>
      </w:r>
    </w:p>
    <w:p w:rsidR="00606EEB" w:rsidRPr="00606EEB" w:rsidRDefault="00BC15A2" w:rsidP="00606EEB">
      <w:pPr>
        <w:spacing w:after="0"/>
        <w:jc w:val="both"/>
        <w:rPr>
          <w:rFonts w:ascii="Arial" w:hAnsi="Arial" w:cs="Arial"/>
          <w:b/>
          <w:sz w:val="24"/>
          <w:szCs w:val="24"/>
          <w:highlight w:val="yellow"/>
        </w:rPr>
      </w:pPr>
    </w:p>
    <w:tbl>
      <w:tblPr>
        <w:tblW w:w="13983" w:type="dxa"/>
        <w:tblLook w:val="04A0" w:firstRow="1" w:lastRow="0" w:firstColumn="1" w:lastColumn="0" w:noHBand="0" w:noVBand="1"/>
      </w:tblPr>
      <w:tblGrid>
        <w:gridCol w:w="1733"/>
        <w:gridCol w:w="1314"/>
        <w:gridCol w:w="1314"/>
        <w:gridCol w:w="1314"/>
        <w:gridCol w:w="1103"/>
        <w:gridCol w:w="1017"/>
        <w:gridCol w:w="1017"/>
        <w:gridCol w:w="1103"/>
        <w:gridCol w:w="1017"/>
        <w:gridCol w:w="1017"/>
        <w:gridCol w:w="1017"/>
        <w:gridCol w:w="1017"/>
      </w:tblGrid>
      <w:tr w:rsidR="006A7256" w:rsidTr="00EE57B8">
        <w:trPr>
          <w:trHeight w:val="955"/>
        </w:trPr>
        <w:tc>
          <w:tcPr>
            <w:tcW w:w="1790" w:type="dxa"/>
            <w:tcBorders>
              <w:top w:val="single" w:sz="4" w:space="0" w:color="auto"/>
              <w:left w:val="single" w:sz="4" w:space="0" w:color="auto"/>
              <w:bottom w:val="nil"/>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FINANCE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w:t>
            </w:r>
            <w:r w:rsidRPr="00FF0E49">
              <w:rPr>
                <w:rFonts w:ascii="Arial" w:eastAsia="Times New Roman" w:hAnsi="Arial" w:cs="Arial"/>
                <w:b/>
                <w:bCs/>
                <w:color w:val="000000"/>
                <w:sz w:val="19"/>
                <w:szCs w:val="19"/>
                <w:lang w:eastAsia="en-GB"/>
              </w:rPr>
              <w:t xml:space="preserve"> Period Income Forecast Variance</w:t>
            </w:r>
          </w:p>
        </w:tc>
        <w:tc>
          <w:tcPr>
            <w:tcW w:w="1102"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098" w:type="dxa"/>
            <w:tcBorders>
              <w:top w:val="single" w:sz="4" w:space="0" w:color="auto"/>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EE57B8">
        <w:trPr>
          <w:trHeight w:val="224"/>
        </w:trPr>
        <w:tc>
          <w:tcPr>
            <w:tcW w:w="17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02"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323"/>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BTLS</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25.490</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25.239</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-0.251</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-1.834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-1.725</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0.109</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23.656</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23.514</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-0.142</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-0.149</w:t>
            </w:r>
          </w:p>
        </w:tc>
      </w:tr>
      <w:tr w:rsidR="006A7256" w:rsidTr="00EE57B8">
        <w:trPr>
          <w:trHeight w:val="382"/>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LANCASHIRE PENSION FUND</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0.184</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0.252</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0.068</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-0.252</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-0.068</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-0.003</w:t>
            </w:r>
          </w:p>
        </w:tc>
      </w:tr>
      <w:tr w:rsidR="006A7256" w:rsidTr="00EE57B8">
        <w:trPr>
          <w:trHeight w:val="382"/>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EXCHEQUER SERVICES</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5.541</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4.917</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-0.624</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-1.944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-1.777</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0.167</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3.597</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3.140</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-0.457</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-12.71%</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-0.420</w:t>
            </w:r>
          </w:p>
        </w:tc>
      </w:tr>
      <w:tr w:rsidR="006A7256" w:rsidTr="00EE57B8">
        <w:trPr>
          <w:trHeight w:val="573"/>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FINANCIAL MGT (DEVELOPMENT</w:t>
            </w:r>
            <w:r w:rsidRPr="00FF0E49">
              <w:rPr>
                <w:rFonts w:ascii="Arial" w:eastAsia="Times New Roman" w:hAnsi="Arial" w:cs="Arial"/>
                <w:b/>
                <w:bCs/>
                <w:color w:val="000000"/>
                <w:sz w:val="19"/>
                <w:szCs w:val="19"/>
                <w:lang w:eastAsia="en-GB"/>
              </w:rPr>
              <w:t xml:space="preserve"> AND SCHOOLS)</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2.279</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2.399</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0.120</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-2.293</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-2.331</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-0.038</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0.068</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0.082</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-585.71%</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0.095</w:t>
            </w:r>
          </w:p>
        </w:tc>
      </w:tr>
      <w:tr w:rsidR="006A7256" w:rsidTr="00EE57B8">
        <w:trPr>
          <w:trHeight w:val="382"/>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FINANCIAL MGT (OPERATIONAL)</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1.870</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1.817</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-0.053</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-0.201</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-0.187</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0.014</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1.669</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1.630</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-0.039</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0.057</w:t>
            </w:r>
          </w:p>
        </w:tc>
      </w:tr>
      <w:tr w:rsidR="006A7256" w:rsidTr="00EE57B8">
        <w:trPr>
          <w:trHeight w:val="382"/>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CORPORATE FINANCE</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22.700</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22.799</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0.099</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-15.064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-15.229</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-0.165</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7.636</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7.570</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-0.066</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-0.86%</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0.075</w:t>
            </w:r>
          </w:p>
        </w:tc>
      </w:tr>
      <w:tr w:rsidR="006A7256" w:rsidTr="00EE57B8">
        <w:trPr>
          <w:trHeight w:val="224"/>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INTERNAL AUDIT</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0.912</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0.916</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0.004</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-0.193</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-0.174</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0.019</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0.719</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0.742</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0.023</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0.023</w:t>
            </w:r>
          </w:p>
        </w:tc>
      </w:tr>
      <w:tr w:rsidR="006A7256" w:rsidTr="00B15B9C">
        <w:trPr>
          <w:trHeight w:val="355"/>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PROCUREMENT</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2.866</w:t>
            </w:r>
          </w:p>
        </w:tc>
        <w:tc>
          <w:tcPr>
            <w:tcW w:w="1134"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2.987</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0.121</w:t>
            </w:r>
          </w:p>
        </w:tc>
        <w:tc>
          <w:tcPr>
            <w:tcW w:w="1101"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-1.052</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-1.124</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-0.072</w:t>
            </w:r>
          </w:p>
        </w:tc>
        <w:tc>
          <w:tcPr>
            <w:tcW w:w="1102"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1.814</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1.863</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0.049</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2.70%</w:t>
            </w:r>
          </w:p>
        </w:tc>
        <w:tc>
          <w:tcPr>
            <w:tcW w:w="1098" w:type="dxa"/>
            <w:tcBorders>
              <w:top w:val="nil"/>
              <w:left w:val="nil"/>
              <w:bottom w:val="single" w:sz="4" w:space="0" w:color="auto"/>
              <w:right w:val="single" w:sz="4" w:space="0" w:color="auto"/>
            </w:tcBorders>
            <w:shd w:val="clear" w:color="auto" w:fill="auto"/>
            <w:vAlign w:val="center"/>
            <w:hideMark/>
          </w:tcPr>
          <w:p w:rsidR="00EE57B8" w:rsidRPr="00FF0E49" w:rsidRDefault="00BC15A2" w:rsidP="00EE57B8">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0.214</w:t>
            </w:r>
          </w:p>
        </w:tc>
      </w:tr>
      <w:tr w:rsidR="006A7256" w:rsidTr="00EE57B8">
        <w:trPr>
          <w:trHeight w:val="224"/>
        </w:trPr>
        <w:tc>
          <w:tcPr>
            <w:tcW w:w="1790" w:type="dxa"/>
            <w:tcBorders>
              <w:top w:val="nil"/>
              <w:left w:val="single" w:sz="4" w:space="0" w:color="auto"/>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FINANCE</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61.842</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61.326</w:t>
            </w:r>
          </w:p>
        </w:tc>
        <w:tc>
          <w:tcPr>
            <w:tcW w:w="1134"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-0.516</w:t>
            </w:r>
          </w:p>
        </w:tc>
        <w:tc>
          <w:tcPr>
            <w:tcW w:w="1101"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-22.765</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-22.799</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-0.034</w:t>
            </w:r>
          </w:p>
        </w:tc>
        <w:tc>
          <w:tcPr>
            <w:tcW w:w="1102"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39.077</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38.527</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-0.550</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-1.41%</w:t>
            </w:r>
          </w:p>
        </w:tc>
        <w:tc>
          <w:tcPr>
            <w:tcW w:w="1098" w:type="dxa"/>
            <w:tcBorders>
              <w:top w:val="nil"/>
              <w:left w:val="nil"/>
              <w:bottom w:val="single" w:sz="4" w:space="0" w:color="auto"/>
              <w:right w:val="single" w:sz="4" w:space="0" w:color="auto"/>
            </w:tcBorders>
            <w:shd w:val="clear" w:color="000000" w:fill="D9D9D9"/>
            <w:vAlign w:val="center"/>
            <w:hideMark/>
          </w:tcPr>
          <w:p w:rsidR="00EE57B8" w:rsidRPr="00FF0E49" w:rsidRDefault="00BC15A2" w:rsidP="00EE57B8">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-0.108</w:t>
            </w:r>
          </w:p>
        </w:tc>
      </w:tr>
    </w:tbl>
    <w:p w:rsidR="00606EEB" w:rsidRPr="00606EEB" w:rsidRDefault="00BC15A2" w:rsidP="00606EEB">
      <w:pPr>
        <w:spacing w:after="0"/>
        <w:jc w:val="both"/>
        <w:rPr>
          <w:rFonts w:ascii="Arial" w:hAnsi="Arial" w:cs="Arial"/>
          <w:b/>
          <w:sz w:val="24"/>
          <w:szCs w:val="24"/>
          <w:highlight w:val="yellow"/>
        </w:rPr>
      </w:pPr>
    </w:p>
    <w:p w:rsidR="00606EEB" w:rsidRPr="00606EEB" w:rsidRDefault="00BC15A2" w:rsidP="00606EEB">
      <w:pPr>
        <w:spacing w:after="0"/>
        <w:jc w:val="both"/>
        <w:rPr>
          <w:rFonts w:ascii="Arial" w:hAnsi="Arial" w:cs="Arial"/>
          <w:b/>
          <w:sz w:val="24"/>
          <w:szCs w:val="24"/>
          <w:highlight w:val="yellow"/>
        </w:rPr>
      </w:pPr>
    </w:p>
    <w:p w:rsidR="00606EEB" w:rsidRPr="00FE5BC2" w:rsidRDefault="00BC15A2" w:rsidP="00606EEB">
      <w:pPr>
        <w:spacing w:after="0"/>
        <w:jc w:val="both"/>
        <w:rPr>
          <w:rFonts w:ascii="Arial" w:hAnsi="Arial" w:cs="Arial"/>
          <w:b/>
          <w:sz w:val="24"/>
          <w:szCs w:val="24"/>
        </w:rPr>
      </w:pPr>
      <w:r w:rsidRPr="00FE5BC2">
        <w:rPr>
          <w:rFonts w:ascii="Arial" w:hAnsi="Arial" w:cs="Arial"/>
          <w:b/>
          <w:sz w:val="24"/>
          <w:szCs w:val="24"/>
        </w:rPr>
        <w:t xml:space="preserve">Finance - forecast underspend £550,000. </w:t>
      </w:r>
    </w:p>
    <w:p w:rsidR="00606EEB" w:rsidRPr="00FE5BC2" w:rsidRDefault="00BC15A2" w:rsidP="00606EEB">
      <w:pPr>
        <w:spacing w:after="0"/>
        <w:ind w:left="-426"/>
        <w:jc w:val="both"/>
        <w:rPr>
          <w:rFonts w:ascii="Arial" w:hAnsi="Arial" w:cs="Arial"/>
          <w:sz w:val="24"/>
          <w:szCs w:val="24"/>
        </w:rPr>
      </w:pPr>
    </w:p>
    <w:p w:rsidR="00606EEB" w:rsidRPr="00FE5BC2" w:rsidRDefault="00BC15A2" w:rsidP="00606EEB">
      <w:pPr>
        <w:spacing w:after="0"/>
        <w:jc w:val="both"/>
        <w:rPr>
          <w:rFonts w:ascii="Arial" w:hAnsi="Arial" w:cs="Arial"/>
          <w:sz w:val="24"/>
          <w:szCs w:val="24"/>
        </w:rPr>
      </w:pPr>
      <w:r w:rsidRPr="00FE5BC2">
        <w:rPr>
          <w:rFonts w:ascii="Arial" w:hAnsi="Arial" w:cs="Arial"/>
          <w:sz w:val="24"/>
          <w:szCs w:val="24"/>
        </w:rPr>
        <w:t>The forecast underspend is predominantly due to underspends reported within exchequer services, in relation to employee costs</w:t>
      </w:r>
      <w:r w:rsidRPr="00FE5BC2">
        <w:rPr>
          <w:rFonts w:ascii="Arial" w:hAnsi="Arial" w:cs="Arial"/>
          <w:sz w:val="24"/>
          <w:szCs w:val="24"/>
        </w:rPr>
        <w:t xml:space="preserve"> of £660,000 being offset by </w:t>
      </w:r>
      <w:proofErr w:type="gramStart"/>
      <w:r w:rsidRPr="00FE5BC2">
        <w:rPr>
          <w:rFonts w:ascii="Arial" w:hAnsi="Arial" w:cs="Arial"/>
          <w:sz w:val="24"/>
          <w:szCs w:val="24"/>
        </w:rPr>
        <w:t>an overspend</w:t>
      </w:r>
      <w:proofErr w:type="gramEnd"/>
      <w:r w:rsidRPr="00FE5BC2">
        <w:rPr>
          <w:rFonts w:ascii="Arial" w:hAnsi="Arial" w:cs="Arial"/>
          <w:sz w:val="24"/>
          <w:szCs w:val="24"/>
        </w:rPr>
        <w:t xml:space="preserve"> on supplies and services and forecast underachievement of income amounting to £199,000. Within BTLS there is an expected over-achievement of savings £90,000 and a no</w:t>
      </w:r>
      <w:r>
        <w:rPr>
          <w:rFonts w:ascii="Arial" w:hAnsi="Arial" w:cs="Arial"/>
          <w:sz w:val="24"/>
          <w:szCs w:val="24"/>
        </w:rPr>
        <w:t>n-</w:t>
      </w:r>
      <w:r w:rsidRPr="00FE5BC2">
        <w:rPr>
          <w:rFonts w:ascii="Arial" w:hAnsi="Arial" w:cs="Arial"/>
          <w:sz w:val="24"/>
          <w:szCs w:val="24"/>
        </w:rPr>
        <w:t>recurring underspend of £204,000 on support cos</w:t>
      </w:r>
      <w:r w:rsidRPr="00FE5BC2">
        <w:rPr>
          <w:rFonts w:ascii="Arial" w:hAnsi="Arial" w:cs="Arial"/>
          <w:sz w:val="24"/>
          <w:szCs w:val="24"/>
        </w:rPr>
        <w:t xml:space="preserve">t. Offset by £145,000 income pressure. </w:t>
      </w:r>
      <w:proofErr w:type="gramStart"/>
      <w:r w:rsidRPr="00FE5BC2">
        <w:rPr>
          <w:rFonts w:ascii="Arial" w:hAnsi="Arial" w:cs="Arial"/>
          <w:sz w:val="24"/>
          <w:szCs w:val="24"/>
        </w:rPr>
        <w:t>The underspends</w:t>
      </w:r>
      <w:proofErr w:type="gramEnd"/>
      <w:r w:rsidRPr="00FE5BC2">
        <w:rPr>
          <w:rFonts w:ascii="Arial" w:hAnsi="Arial" w:cs="Arial"/>
          <w:sz w:val="24"/>
          <w:szCs w:val="24"/>
        </w:rPr>
        <w:t xml:space="preserve"> are offset by staffing pressures across financial management and procurement. </w:t>
      </w:r>
    </w:p>
    <w:p w:rsidR="00D12D70" w:rsidRDefault="00BC15A2">
      <w:pPr>
        <w:rPr>
          <w:rFonts w:ascii="Arial" w:hAnsi="Arial" w:cs="Arial"/>
          <w:sz w:val="24"/>
          <w:szCs w:val="24"/>
          <w:highlight w:val="yellow"/>
        </w:rPr>
      </w:pPr>
      <w:r>
        <w:rPr>
          <w:rFonts w:ascii="Arial" w:hAnsi="Arial" w:cs="Arial"/>
          <w:sz w:val="24"/>
          <w:szCs w:val="24"/>
          <w:highlight w:val="yellow"/>
        </w:rPr>
        <w:br w:type="page"/>
      </w:r>
    </w:p>
    <w:p w:rsidR="00606EEB" w:rsidRPr="003F05E4" w:rsidRDefault="00BC15A2" w:rsidP="003F05E4">
      <w:pPr>
        <w:pStyle w:val="ListParagraph"/>
        <w:numPr>
          <w:ilvl w:val="0"/>
          <w:numId w:val="13"/>
        </w:numPr>
        <w:spacing w:after="0"/>
        <w:ind w:left="0" w:firstLine="0"/>
        <w:jc w:val="both"/>
        <w:rPr>
          <w:rFonts w:ascii="Arial" w:hAnsi="Arial" w:cs="Arial"/>
          <w:b/>
          <w:sz w:val="24"/>
          <w:szCs w:val="24"/>
        </w:rPr>
      </w:pPr>
      <w:r w:rsidRPr="003F05E4">
        <w:rPr>
          <w:rFonts w:ascii="Arial" w:hAnsi="Arial" w:cs="Arial"/>
          <w:b/>
          <w:sz w:val="24"/>
          <w:szCs w:val="24"/>
          <w:u w:val="single"/>
        </w:rPr>
        <w:lastRenderedPageBreak/>
        <w:t>Corporate Service</w:t>
      </w:r>
      <w:r>
        <w:rPr>
          <w:rFonts w:ascii="Arial" w:hAnsi="Arial" w:cs="Arial"/>
          <w:b/>
          <w:sz w:val="24"/>
          <w:szCs w:val="24"/>
          <w:u w:val="single"/>
        </w:rPr>
        <w:t>s</w:t>
      </w:r>
    </w:p>
    <w:p w:rsidR="00606EEB" w:rsidRPr="00606EEB" w:rsidRDefault="00BC15A2" w:rsidP="00606EEB">
      <w:pPr>
        <w:pStyle w:val="ListParagraph"/>
        <w:spacing w:after="0"/>
        <w:ind w:left="567"/>
        <w:rPr>
          <w:rFonts w:ascii="Arial" w:hAnsi="Arial" w:cs="Arial"/>
          <w:b/>
          <w:sz w:val="24"/>
          <w:szCs w:val="24"/>
          <w:highlight w:val="yellow"/>
          <w:u w:val="single"/>
        </w:rPr>
      </w:pPr>
    </w:p>
    <w:tbl>
      <w:tblPr>
        <w:tblW w:w="14377" w:type="dxa"/>
        <w:tblLook w:val="04A0" w:firstRow="1" w:lastRow="0" w:firstColumn="1" w:lastColumn="0" w:noHBand="0" w:noVBand="1"/>
      </w:tblPr>
      <w:tblGrid>
        <w:gridCol w:w="1758"/>
        <w:gridCol w:w="1315"/>
        <w:gridCol w:w="1314"/>
        <w:gridCol w:w="1314"/>
        <w:gridCol w:w="1119"/>
        <w:gridCol w:w="1073"/>
        <w:gridCol w:w="1073"/>
        <w:gridCol w:w="1119"/>
        <w:gridCol w:w="1073"/>
        <w:gridCol w:w="1073"/>
        <w:gridCol w:w="1073"/>
        <w:gridCol w:w="1073"/>
      </w:tblGrid>
      <w:tr w:rsidR="006A7256" w:rsidTr="00C66023">
        <w:trPr>
          <w:trHeight w:val="1014"/>
        </w:trPr>
        <w:tc>
          <w:tcPr>
            <w:tcW w:w="1839" w:type="dxa"/>
            <w:tcBorders>
              <w:top w:val="single" w:sz="4" w:space="0" w:color="auto"/>
              <w:left w:val="single" w:sz="4" w:space="0" w:color="auto"/>
              <w:bottom w:val="nil"/>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CORPORATE SERVICES</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6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w:t>
            </w:r>
            <w:r w:rsidRPr="00FF0E49">
              <w:rPr>
                <w:rFonts w:ascii="Arial" w:eastAsia="Times New Roman" w:hAnsi="Arial" w:cs="Arial"/>
                <w:b/>
                <w:bCs/>
                <w:color w:val="000000"/>
                <w:sz w:val="19"/>
                <w:szCs w:val="19"/>
                <w:lang w:eastAsia="en-GB"/>
              </w:rPr>
              <w:t xml:space="preserve"> Period Expenditure Forecast Variance</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133"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w:t>
            </w:r>
            <w:r w:rsidRPr="00FF0E49">
              <w:rPr>
                <w:rFonts w:ascii="Arial" w:eastAsia="Times New Roman" w:hAnsi="Arial" w:cs="Arial"/>
                <w:b/>
                <w:bCs/>
                <w:color w:val="000000"/>
                <w:sz w:val="19"/>
                <w:szCs w:val="19"/>
                <w:lang w:eastAsia="en-GB"/>
              </w:rPr>
              <w:t xml:space="preserve"> Forecast Variance</w:t>
            </w:r>
          </w:p>
        </w:tc>
        <w:tc>
          <w:tcPr>
            <w:tcW w:w="1129"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C66023">
        <w:trPr>
          <w:trHeight w:val="238"/>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C66023">
        <w:trPr>
          <w:trHeight w:val="405"/>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CORONER'S SERVICE</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2.729</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2.491</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-0.238</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-0.308</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-0.280</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0.028</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2.421</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2.211</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-0.210</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-8.67%</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-0.177</w:t>
            </w:r>
          </w:p>
        </w:tc>
      </w:tr>
      <w:tr w:rsidR="006A7256" w:rsidTr="00C66023">
        <w:trPr>
          <w:trHeight w:val="238"/>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HUMAN RESOURCES</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9.884</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10.672</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0.788</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-8.949</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-9.878</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-0.929</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0.935</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0.794</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-0.141</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-15.08%</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-0.108</w:t>
            </w:r>
          </w:p>
        </w:tc>
      </w:tr>
      <w:tr w:rsidR="006A7256" w:rsidTr="00C66023">
        <w:trPr>
          <w:trHeight w:val="608"/>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LEGAL, </w:t>
            </w:r>
            <w:r w:rsidRPr="00FF0E49">
              <w:rPr>
                <w:rFonts w:ascii="Arial" w:eastAsia="Times New Roman" w:hAnsi="Arial" w:cs="Arial"/>
                <w:b/>
                <w:bCs/>
                <w:color w:val="000000"/>
                <w:sz w:val="19"/>
                <w:szCs w:val="19"/>
                <w:lang w:eastAsia="en-GB"/>
              </w:rPr>
              <w:t>GOVERNANCE AND REGISTRARS</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17.500</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18.181</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0.681</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-4.590</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-4.706</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-0.116</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12.910</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13.475</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0.565</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4.38%</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0.271</w:t>
            </w:r>
          </w:p>
        </w:tc>
      </w:tr>
      <w:tr w:rsidR="006A7256" w:rsidTr="00C66023">
        <w:trPr>
          <w:trHeight w:val="405"/>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SKILLS LEARNING &amp; DEVELOPMENT</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3.606</w:t>
            </w:r>
          </w:p>
        </w:tc>
        <w:tc>
          <w:tcPr>
            <w:tcW w:w="116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3.373</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-0.233</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-0.844</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-0.814</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0.030</w:t>
            </w:r>
          </w:p>
        </w:tc>
        <w:tc>
          <w:tcPr>
            <w:tcW w:w="113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2.762</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2.559</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-0.203</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-7.35%</w:t>
            </w:r>
          </w:p>
        </w:tc>
        <w:tc>
          <w:tcPr>
            <w:tcW w:w="1129"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-0.062</w:t>
            </w:r>
          </w:p>
        </w:tc>
      </w:tr>
      <w:tr w:rsidR="006A7256" w:rsidTr="00C66023">
        <w:trPr>
          <w:trHeight w:val="608"/>
        </w:trPr>
        <w:tc>
          <w:tcPr>
            <w:tcW w:w="1839"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w:t>
            </w:r>
            <w:r w:rsidRPr="00FF0E49">
              <w:rPr>
                <w:rFonts w:ascii="Arial" w:eastAsia="Times New Roman" w:hAnsi="Arial" w:cs="Arial"/>
                <w:b/>
                <w:bCs/>
                <w:color w:val="000000"/>
                <w:sz w:val="19"/>
                <w:szCs w:val="19"/>
                <w:lang w:eastAsia="en-GB"/>
              </w:rPr>
              <w:br/>
              <w:t>CORPORATE SERVICES</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33.719</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34.717</w:t>
            </w:r>
          </w:p>
        </w:tc>
        <w:tc>
          <w:tcPr>
            <w:tcW w:w="116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0.998</w:t>
            </w:r>
          </w:p>
        </w:tc>
        <w:tc>
          <w:tcPr>
            <w:tcW w:w="113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-14.691</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-15.678</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-0.987</w:t>
            </w:r>
          </w:p>
        </w:tc>
        <w:tc>
          <w:tcPr>
            <w:tcW w:w="113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19.028</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19.039</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0.011</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0.06%</w:t>
            </w:r>
          </w:p>
        </w:tc>
        <w:tc>
          <w:tcPr>
            <w:tcW w:w="1129"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-0.076</w:t>
            </w:r>
          </w:p>
        </w:tc>
      </w:tr>
    </w:tbl>
    <w:p w:rsidR="00606EEB" w:rsidRDefault="00BC15A2" w:rsidP="000737AF">
      <w:pPr>
        <w:spacing w:after="0"/>
        <w:rPr>
          <w:rFonts w:ascii="Arial" w:hAnsi="Arial" w:cs="Arial"/>
          <w:b/>
          <w:sz w:val="24"/>
          <w:szCs w:val="24"/>
          <w:highlight w:val="yellow"/>
          <w:u w:val="single"/>
        </w:rPr>
      </w:pPr>
    </w:p>
    <w:p w:rsidR="000737AF" w:rsidRPr="00606EEB" w:rsidRDefault="00BC15A2" w:rsidP="00D12D70">
      <w:pPr>
        <w:spacing w:after="0"/>
        <w:rPr>
          <w:rFonts w:ascii="Arial" w:hAnsi="Arial" w:cs="Arial"/>
          <w:b/>
          <w:sz w:val="24"/>
          <w:szCs w:val="24"/>
          <w:highlight w:val="yellow"/>
          <w:u w:val="single"/>
        </w:rPr>
      </w:pPr>
    </w:p>
    <w:p w:rsidR="00606EEB" w:rsidRPr="004F0072" w:rsidRDefault="00BC15A2" w:rsidP="00606EEB">
      <w:pPr>
        <w:spacing w:after="0"/>
        <w:jc w:val="both"/>
        <w:rPr>
          <w:rFonts w:ascii="Arial" w:hAnsi="Arial" w:cs="Arial"/>
          <w:sz w:val="24"/>
          <w:szCs w:val="24"/>
        </w:rPr>
      </w:pPr>
      <w:r w:rsidRPr="004F0072">
        <w:rPr>
          <w:rFonts w:ascii="Arial" w:hAnsi="Arial" w:cs="Arial"/>
          <w:b/>
          <w:sz w:val="24"/>
          <w:szCs w:val="24"/>
        </w:rPr>
        <w:t>Corporate Services - forecast overspend by £11,000.</w:t>
      </w:r>
      <w:r w:rsidRPr="004F0072">
        <w:rPr>
          <w:rFonts w:ascii="Arial" w:hAnsi="Arial" w:cs="Arial"/>
          <w:sz w:val="24"/>
          <w:szCs w:val="24"/>
        </w:rPr>
        <w:t xml:space="preserve"> </w:t>
      </w:r>
    </w:p>
    <w:p w:rsidR="00606EEB" w:rsidRPr="004F0072" w:rsidRDefault="00BC15A2" w:rsidP="00606EEB">
      <w:pPr>
        <w:spacing w:after="0"/>
        <w:jc w:val="both"/>
        <w:rPr>
          <w:rFonts w:ascii="Arial" w:hAnsi="Arial" w:cs="Arial"/>
          <w:sz w:val="24"/>
          <w:szCs w:val="24"/>
        </w:rPr>
      </w:pPr>
      <w:r w:rsidRPr="004F0072">
        <w:rPr>
          <w:rFonts w:ascii="Arial" w:hAnsi="Arial" w:cs="Arial"/>
          <w:sz w:val="24"/>
          <w:szCs w:val="24"/>
        </w:rPr>
        <w:t>The main pressure across the service relates to legal fees £1.020m as demand grows in social care, which is being offset by an under</w:t>
      </w:r>
      <w:r>
        <w:rPr>
          <w:rFonts w:ascii="Arial" w:hAnsi="Arial" w:cs="Arial"/>
          <w:sz w:val="24"/>
          <w:szCs w:val="24"/>
        </w:rPr>
        <w:t xml:space="preserve"> </w:t>
      </w:r>
      <w:r w:rsidRPr="004F0072">
        <w:rPr>
          <w:rFonts w:ascii="Arial" w:hAnsi="Arial" w:cs="Arial"/>
          <w:sz w:val="24"/>
          <w:szCs w:val="24"/>
        </w:rPr>
        <w:t xml:space="preserve">spend on supplies </w:t>
      </w:r>
      <w:r w:rsidRPr="004F0072">
        <w:rPr>
          <w:rFonts w:ascii="Arial" w:hAnsi="Arial" w:cs="Arial"/>
          <w:sz w:val="24"/>
          <w:szCs w:val="24"/>
        </w:rPr>
        <w:t>and services of £339,000an underspend of £84,000 in democratic services by underspends anticipated within the coroner's service £210,000 and in human resources £141,000 mainly as a result of additional income. Skills learning and development is forecast to</w:t>
      </w:r>
      <w:r w:rsidRPr="004F0072">
        <w:rPr>
          <w:rFonts w:ascii="Arial" w:hAnsi="Arial" w:cs="Arial"/>
          <w:sz w:val="24"/>
          <w:szCs w:val="24"/>
        </w:rPr>
        <w:t xml:space="preserve"> underspend by £203,000 as a result of lower spend on training and supplies budgets.</w:t>
      </w:r>
    </w:p>
    <w:p w:rsidR="00FF0E49" w:rsidRDefault="00BC15A2">
      <w:pPr>
        <w:rPr>
          <w:rFonts w:ascii="Arial" w:hAnsi="Arial" w:cs="Arial"/>
          <w:b/>
          <w:sz w:val="24"/>
          <w:szCs w:val="24"/>
          <w:highlight w:val="yellow"/>
        </w:rPr>
      </w:pPr>
      <w:r>
        <w:rPr>
          <w:rFonts w:ascii="Arial" w:hAnsi="Arial" w:cs="Arial"/>
          <w:b/>
          <w:sz w:val="24"/>
          <w:szCs w:val="24"/>
          <w:highlight w:val="yellow"/>
        </w:rPr>
        <w:br w:type="page"/>
      </w:r>
    </w:p>
    <w:p w:rsidR="00606EEB" w:rsidRPr="00606EEB" w:rsidRDefault="00BC15A2" w:rsidP="00606EEB">
      <w:pPr>
        <w:spacing w:after="0"/>
        <w:ind w:left="-426"/>
        <w:jc w:val="both"/>
        <w:rPr>
          <w:rFonts w:ascii="Arial" w:hAnsi="Arial" w:cs="Arial"/>
          <w:b/>
          <w:sz w:val="24"/>
          <w:szCs w:val="24"/>
          <w:highlight w:val="yellow"/>
        </w:rPr>
      </w:pPr>
    </w:p>
    <w:p w:rsidR="00606EEB" w:rsidRPr="00606EEB" w:rsidRDefault="00BC15A2" w:rsidP="00606EEB">
      <w:pPr>
        <w:spacing w:after="0"/>
        <w:jc w:val="both"/>
        <w:rPr>
          <w:rFonts w:ascii="Arial" w:hAnsi="Arial" w:cs="Arial"/>
          <w:b/>
          <w:sz w:val="24"/>
          <w:szCs w:val="24"/>
          <w:highlight w:val="yellow"/>
        </w:rPr>
      </w:pPr>
    </w:p>
    <w:p w:rsidR="00606EEB" w:rsidRPr="003F05E4" w:rsidRDefault="00BC15A2" w:rsidP="003F05E4">
      <w:pPr>
        <w:pStyle w:val="ListParagraph"/>
        <w:numPr>
          <w:ilvl w:val="0"/>
          <w:numId w:val="13"/>
        </w:numPr>
        <w:spacing w:after="0"/>
        <w:rPr>
          <w:rFonts w:ascii="Arial" w:hAnsi="Arial" w:cs="Arial"/>
          <w:b/>
          <w:sz w:val="24"/>
          <w:szCs w:val="24"/>
          <w:u w:val="single"/>
        </w:rPr>
      </w:pPr>
      <w:r w:rsidRPr="003F05E4">
        <w:rPr>
          <w:rFonts w:ascii="Arial" w:hAnsi="Arial" w:cs="Arial"/>
          <w:b/>
          <w:sz w:val="24"/>
          <w:szCs w:val="24"/>
          <w:u w:val="single"/>
        </w:rPr>
        <w:t xml:space="preserve">Strategy and Performance </w:t>
      </w:r>
    </w:p>
    <w:p w:rsidR="00606EEB" w:rsidRDefault="00BC15A2" w:rsidP="00606EEB">
      <w:pPr>
        <w:spacing w:after="0"/>
        <w:rPr>
          <w:rFonts w:ascii="Arial" w:hAnsi="Arial" w:cs="Arial"/>
          <w:sz w:val="24"/>
          <w:szCs w:val="24"/>
          <w:highlight w:val="yellow"/>
        </w:rPr>
      </w:pPr>
    </w:p>
    <w:tbl>
      <w:tblPr>
        <w:tblW w:w="14258" w:type="dxa"/>
        <w:tblLook w:val="04A0" w:firstRow="1" w:lastRow="0" w:firstColumn="1" w:lastColumn="0" w:noHBand="0" w:noVBand="1"/>
      </w:tblPr>
      <w:tblGrid>
        <w:gridCol w:w="1756"/>
        <w:gridCol w:w="1314"/>
        <w:gridCol w:w="1314"/>
        <w:gridCol w:w="1314"/>
        <w:gridCol w:w="1112"/>
        <w:gridCol w:w="1056"/>
        <w:gridCol w:w="1056"/>
        <w:gridCol w:w="1112"/>
        <w:gridCol w:w="1056"/>
        <w:gridCol w:w="1056"/>
        <w:gridCol w:w="1056"/>
        <w:gridCol w:w="1056"/>
      </w:tblGrid>
      <w:tr w:rsidR="006A7256" w:rsidTr="00FF0E49">
        <w:trPr>
          <w:trHeight w:val="1092"/>
        </w:trPr>
        <w:tc>
          <w:tcPr>
            <w:tcW w:w="1824" w:type="dxa"/>
            <w:tcBorders>
              <w:top w:val="single" w:sz="4" w:space="0" w:color="auto"/>
              <w:left w:val="single" w:sz="4" w:space="0" w:color="auto"/>
              <w:bottom w:val="nil"/>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STRATEGY AND PERFORMANCE</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Expenditure Budget </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56"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w:t>
            </w:r>
            <w:r w:rsidRPr="00FF0E49">
              <w:rPr>
                <w:rFonts w:ascii="Arial" w:eastAsia="Times New Roman" w:hAnsi="Arial" w:cs="Arial"/>
                <w:b/>
                <w:bCs/>
                <w:color w:val="000000"/>
                <w:sz w:val="19"/>
                <w:szCs w:val="19"/>
                <w:lang w:eastAsia="en-GB"/>
              </w:rPr>
              <w:t>Variance</w:t>
            </w:r>
          </w:p>
        </w:tc>
        <w:tc>
          <w:tcPr>
            <w:tcW w:w="1123"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123"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Net Forecast Outturn </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120" w:type="dxa"/>
            <w:tcBorders>
              <w:top w:val="single" w:sz="4" w:space="0" w:color="auto"/>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w:t>
            </w:r>
            <w:r w:rsidRPr="00FF0E49">
              <w:rPr>
                <w:rFonts w:ascii="Arial" w:eastAsia="Times New Roman" w:hAnsi="Arial" w:cs="Arial"/>
                <w:b/>
                <w:bCs/>
                <w:color w:val="000000"/>
                <w:sz w:val="19"/>
                <w:szCs w:val="19"/>
                <w:lang w:eastAsia="en-GB"/>
              </w:rPr>
              <w:t>e</w:t>
            </w:r>
          </w:p>
        </w:tc>
      </w:tr>
      <w:tr w:rsidR="006A7256" w:rsidTr="00FF0E49">
        <w:trPr>
          <w:trHeight w:val="256"/>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399"/>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ASSET MGT</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38.516</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38.397</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-0.119</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-31.632</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-31.844</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-0.212</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6.884</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6.553</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-0.331</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-4.81%</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-0.413</w:t>
            </w:r>
          </w:p>
        </w:tc>
      </w:tr>
      <w:tr w:rsidR="006A7256" w:rsidTr="00B15B9C">
        <w:trPr>
          <w:trHeight w:val="431"/>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FACILITIES MGT</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60.418</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61.131</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0.713</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-43.043</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-42.475</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0.568</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17.375</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18.656</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1.281</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7.37%</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0.902</w:t>
            </w:r>
          </w:p>
        </w:tc>
      </w:tr>
      <w:tr w:rsidR="006A7256" w:rsidTr="00FF0E49">
        <w:trPr>
          <w:trHeight w:val="436"/>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CORE SYSTEMS AND BUSINESS SUPPORT</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4.221</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4.335</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0.114</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-0.327</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-0.342</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-0.015</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3.894</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3.993</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0.099</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2.54%</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0.088</w:t>
            </w:r>
          </w:p>
        </w:tc>
      </w:tr>
      <w:tr w:rsidR="006A7256" w:rsidTr="00FF0E49">
        <w:trPr>
          <w:trHeight w:val="436"/>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PROGRAMME OFFICE</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1.655</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1.599</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-0.056</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-0.027</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0.027</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1.628</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1.599</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-0.029</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-1.78%</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r>
      <w:tr w:rsidR="006A7256" w:rsidTr="00FF0E49">
        <w:trPr>
          <w:trHeight w:val="436"/>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BUSINESS INTELLIGENCE</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1.390</w:t>
            </w:r>
          </w:p>
        </w:tc>
        <w:tc>
          <w:tcPr>
            <w:tcW w:w="1156"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1.381</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-0.009</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-0.075</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-0.119</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-0.044</w:t>
            </w:r>
          </w:p>
        </w:tc>
        <w:tc>
          <w:tcPr>
            <w:tcW w:w="1123"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1.315</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1.262</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-0.053</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-4.03%</w:t>
            </w:r>
          </w:p>
        </w:tc>
        <w:tc>
          <w:tcPr>
            <w:tcW w:w="1120" w:type="dxa"/>
            <w:tcBorders>
              <w:top w:val="nil"/>
              <w:left w:val="nil"/>
              <w:bottom w:val="single" w:sz="4" w:space="0" w:color="auto"/>
              <w:right w:val="single" w:sz="4" w:space="0" w:color="auto"/>
            </w:tcBorders>
            <w:shd w:val="clear" w:color="auto" w:fill="auto"/>
            <w:vAlign w:val="center"/>
            <w:hideMark/>
          </w:tcPr>
          <w:p w:rsidR="00C66023" w:rsidRPr="00FF0E49" w:rsidRDefault="00BC15A2" w:rsidP="00C66023">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-0.051</w:t>
            </w:r>
          </w:p>
        </w:tc>
      </w:tr>
      <w:tr w:rsidR="006A7256" w:rsidTr="00FF0E49">
        <w:trPr>
          <w:trHeight w:val="655"/>
        </w:trPr>
        <w:tc>
          <w:tcPr>
            <w:tcW w:w="1824" w:type="dxa"/>
            <w:tcBorders>
              <w:top w:val="nil"/>
              <w:left w:val="single" w:sz="4" w:space="0" w:color="auto"/>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w:t>
            </w:r>
            <w:r w:rsidRPr="00FF0E49">
              <w:rPr>
                <w:rFonts w:ascii="Arial" w:eastAsia="Times New Roman" w:hAnsi="Arial" w:cs="Arial"/>
                <w:b/>
                <w:bCs/>
                <w:color w:val="000000"/>
                <w:sz w:val="19"/>
                <w:szCs w:val="19"/>
                <w:lang w:eastAsia="en-GB"/>
              </w:rPr>
              <w:br/>
            </w:r>
            <w:r w:rsidRPr="00FF0E49">
              <w:rPr>
                <w:rFonts w:ascii="Arial" w:eastAsia="Times New Roman" w:hAnsi="Arial" w:cs="Arial"/>
                <w:b/>
                <w:bCs/>
                <w:color w:val="000000"/>
                <w:sz w:val="19"/>
                <w:szCs w:val="19"/>
                <w:lang w:eastAsia="en-GB"/>
              </w:rPr>
              <w:t>STRATEGY AND PERFORMANCE</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106.200</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106.843</w:t>
            </w:r>
          </w:p>
        </w:tc>
        <w:tc>
          <w:tcPr>
            <w:tcW w:w="1156"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0.643</w:t>
            </w:r>
          </w:p>
        </w:tc>
        <w:tc>
          <w:tcPr>
            <w:tcW w:w="112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-75.104</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-74.780</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0.324</w:t>
            </w:r>
          </w:p>
        </w:tc>
        <w:tc>
          <w:tcPr>
            <w:tcW w:w="1123"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31.096</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32.063</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0.967</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3.11%</w:t>
            </w:r>
          </w:p>
        </w:tc>
        <w:tc>
          <w:tcPr>
            <w:tcW w:w="1120" w:type="dxa"/>
            <w:tcBorders>
              <w:top w:val="nil"/>
              <w:left w:val="nil"/>
              <w:bottom w:val="single" w:sz="4" w:space="0" w:color="auto"/>
              <w:right w:val="single" w:sz="4" w:space="0" w:color="auto"/>
            </w:tcBorders>
            <w:shd w:val="clear" w:color="000000" w:fill="D9D9D9"/>
            <w:vAlign w:val="center"/>
            <w:hideMark/>
          </w:tcPr>
          <w:p w:rsidR="00C66023" w:rsidRPr="00FF0E49" w:rsidRDefault="00BC15A2" w:rsidP="00C66023">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0.526</w:t>
            </w:r>
          </w:p>
        </w:tc>
      </w:tr>
    </w:tbl>
    <w:p w:rsidR="000737AF" w:rsidRPr="00606EEB" w:rsidRDefault="00BC15A2" w:rsidP="00606EEB">
      <w:pPr>
        <w:spacing w:after="0"/>
        <w:rPr>
          <w:rFonts w:ascii="Arial" w:hAnsi="Arial" w:cs="Arial"/>
          <w:sz w:val="24"/>
          <w:szCs w:val="24"/>
          <w:highlight w:val="yellow"/>
        </w:rPr>
      </w:pPr>
    </w:p>
    <w:p w:rsidR="00D12D70" w:rsidRPr="00606EEB" w:rsidRDefault="00BC15A2" w:rsidP="00D12D70">
      <w:pPr>
        <w:spacing w:after="0"/>
        <w:rPr>
          <w:rFonts w:ascii="Arial" w:hAnsi="Arial" w:cs="Arial"/>
          <w:b/>
          <w:sz w:val="24"/>
          <w:szCs w:val="24"/>
          <w:highlight w:val="yellow"/>
        </w:rPr>
      </w:pPr>
    </w:p>
    <w:p w:rsidR="00606EEB" w:rsidRPr="004F0072" w:rsidRDefault="00BC15A2" w:rsidP="00606EEB">
      <w:pPr>
        <w:spacing w:after="0"/>
        <w:jc w:val="both"/>
        <w:rPr>
          <w:rFonts w:ascii="Arial" w:hAnsi="Arial" w:cs="Arial"/>
          <w:b/>
          <w:sz w:val="24"/>
          <w:szCs w:val="24"/>
        </w:rPr>
      </w:pPr>
      <w:r w:rsidRPr="004F0072">
        <w:rPr>
          <w:rFonts w:ascii="Arial" w:hAnsi="Arial" w:cs="Arial"/>
          <w:b/>
          <w:sz w:val="24"/>
          <w:szCs w:val="24"/>
        </w:rPr>
        <w:t xml:space="preserve">Strategy and Performance - forecast overspend £967,000 </w:t>
      </w:r>
    </w:p>
    <w:p w:rsidR="00D12D70" w:rsidRPr="00606EEB" w:rsidRDefault="00BC15A2" w:rsidP="00606EEB">
      <w:pPr>
        <w:spacing w:after="0"/>
        <w:jc w:val="both"/>
        <w:rPr>
          <w:rFonts w:ascii="Arial" w:hAnsi="Arial" w:cs="Arial"/>
          <w:b/>
          <w:sz w:val="24"/>
          <w:szCs w:val="24"/>
          <w:highlight w:val="yellow"/>
        </w:rPr>
      </w:pPr>
    </w:p>
    <w:p w:rsidR="00A86DF0" w:rsidRPr="00A86DF0" w:rsidRDefault="00BC15A2" w:rsidP="00606EEB">
      <w:pPr>
        <w:spacing w:after="0"/>
        <w:jc w:val="both"/>
        <w:rPr>
          <w:rFonts w:ascii="Arial" w:hAnsi="Arial" w:cs="Arial"/>
          <w:sz w:val="24"/>
          <w:szCs w:val="24"/>
        </w:rPr>
      </w:pPr>
      <w:r w:rsidRPr="00A86DF0">
        <w:rPr>
          <w:rFonts w:ascii="Arial" w:hAnsi="Arial" w:cs="Arial"/>
          <w:sz w:val="24"/>
          <w:szCs w:val="24"/>
        </w:rPr>
        <w:t xml:space="preserve">This mainly relates to the operational property budget for repairs and maintenance which was </w:t>
      </w:r>
      <w:r w:rsidRPr="00A86DF0">
        <w:rPr>
          <w:rFonts w:ascii="Arial" w:hAnsi="Arial" w:cs="Arial"/>
          <w:sz w:val="24"/>
          <w:szCs w:val="24"/>
        </w:rPr>
        <w:t>reduced in 2018/19 by £750,000 and a further £750,000 in 2019/20.  Whilst work is underway to carry out condition surveys on properties in order to develop a programme of planned works that will reduce future reactive R&amp;M costs, an overspend of £786,000 is</w:t>
      </w:r>
      <w:r w:rsidRPr="00A86DF0">
        <w:rPr>
          <w:rFonts w:ascii="Arial" w:hAnsi="Arial" w:cs="Arial"/>
          <w:sz w:val="24"/>
          <w:szCs w:val="24"/>
        </w:rPr>
        <w:t xml:space="preserve"> anticipated in 2019/20. </w:t>
      </w:r>
    </w:p>
    <w:p w:rsidR="00A86DF0" w:rsidRPr="00A86DF0" w:rsidRDefault="00BC15A2" w:rsidP="00606EEB">
      <w:pPr>
        <w:spacing w:after="0"/>
        <w:jc w:val="both"/>
        <w:rPr>
          <w:rFonts w:ascii="Arial" w:hAnsi="Arial" w:cs="Arial"/>
          <w:sz w:val="24"/>
          <w:szCs w:val="24"/>
        </w:rPr>
      </w:pPr>
      <w:r w:rsidRPr="00A86DF0">
        <w:rPr>
          <w:rFonts w:ascii="Arial" w:hAnsi="Arial" w:cs="Arial"/>
          <w:sz w:val="24"/>
          <w:szCs w:val="24"/>
        </w:rPr>
        <w:t>There is also a projected overspend in the schools catering service of £550,000 predominantly as a result of increasing food costs.</w:t>
      </w:r>
    </w:p>
    <w:p w:rsidR="00606EEB" w:rsidRPr="00A86DF0" w:rsidRDefault="00BC15A2" w:rsidP="00606EEB">
      <w:pPr>
        <w:spacing w:after="0"/>
        <w:jc w:val="both"/>
        <w:rPr>
          <w:rFonts w:ascii="Arial" w:hAnsi="Arial" w:cs="Arial"/>
          <w:sz w:val="24"/>
          <w:szCs w:val="24"/>
        </w:rPr>
      </w:pPr>
      <w:r w:rsidRPr="00A86DF0">
        <w:rPr>
          <w:rFonts w:ascii="Arial" w:hAnsi="Arial" w:cs="Arial"/>
          <w:sz w:val="24"/>
          <w:szCs w:val="24"/>
        </w:rPr>
        <w:t>These overspends are</w:t>
      </w:r>
      <w:r w:rsidRPr="00A86DF0">
        <w:rPr>
          <w:rFonts w:ascii="Arial" w:hAnsi="Arial" w:cs="Arial"/>
          <w:sz w:val="24"/>
          <w:szCs w:val="24"/>
        </w:rPr>
        <w:t xml:space="preserve"> offset by non-recurring underspends relating to fees not being incurred that were anticipated at the end of 2018/19 and the sale of carbon reduction credits which will yield circa £417,000.</w:t>
      </w:r>
    </w:p>
    <w:p w:rsidR="00606EEB" w:rsidRPr="00606EEB" w:rsidRDefault="00BC15A2" w:rsidP="00D12D70">
      <w:pPr>
        <w:spacing w:after="0"/>
        <w:jc w:val="both"/>
        <w:rPr>
          <w:rFonts w:ascii="Arial" w:hAnsi="Arial" w:cs="Arial"/>
          <w:sz w:val="24"/>
          <w:szCs w:val="24"/>
          <w:highlight w:val="yellow"/>
        </w:rPr>
      </w:pPr>
    </w:p>
    <w:p w:rsidR="00606EEB" w:rsidRPr="00606EEB" w:rsidRDefault="00BC15A2" w:rsidP="00606EEB">
      <w:pPr>
        <w:spacing w:after="0"/>
        <w:ind w:left="-851"/>
        <w:jc w:val="both"/>
        <w:rPr>
          <w:rFonts w:ascii="Arial" w:hAnsi="Arial" w:cs="Arial"/>
          <w:sz w:val="24"/>
          <w:szCs w:val="24"/>
          <w:highlight w:val="yellow"/>
        </w:rPr>
      </w:pPr>
    </w:p>
    <w:p w:rsidR="00C943E7" w:rsidRDefault="00BC15A2">
      <w:pPr>
        <w:rPr>
          <w:rFonts w:ascii="Arial" w:hAnsi="Arial" w:cs="Arial"/>
          <w:sz w:val="24"/>
          <w:szCs w:val="24"/>
          <w:highlight w:val="yellow"/>
        </w:rPr>
      </w:pPr>
      <w:r>
        <w:rPr>
          <w:rFonts w:ascii="Arial" w:hAnsi="Arial" w:cs="Arial"/>
          <w:sz w:val="24"/>
          <w:szCs w:val="24"/>
          <w:highlight w:val="yellow"/>
        </w:rPr>
        <w:br w:type="page"/>
      </w:r>
    </w:p>
    <w:p w:rsidR="00606EEB" w:rsidRPr="00606EEB" w:rsidRDefault="00BC15A2">
      <w:pPr>
        <w:rPr>
          <w:rFonts w:ascii="Arial" w:hAnsi="Arial" w:cs="Arial"/>
          <w:sz w:val="24"/>
          <w:szCs w:val="24"/>
          <w:highlight w:val="yellow"/>
        </w:rPr>
      </w:pPr>
    </w:p>
    <w:p w:rsidR="00606EEB" w:rsidRPr="00E40BB3" w:rsidRDefault="00BC15A2" w:rsidP="00D12D70">
      <w:pPr>
        <w:pStyle w:val="ListParagraph"/>
        <w:numPr>
          <w:ilvl w:val="0"/>
          <w:numId w:val="13"/>
        </w:numPr>
        <w:spacing w:after="0"/>
        <w:rPr>
          <w:rFonts w:ascii="Arial" w:hAnsi="Arial" w:cs="Arial"/>
          <w:b/>
          <w:sz w:val="24"/>
          <w:szCs w:val="24"/>
          <w:u w:val="single"/>
        </w:rPr>
      </w:pPr>
      <w:r w:rsidRPr="00E40BB3">
        <w:rPr>
          <w:rFonts w:ascii="Arial" w:hAnsi="Arial" w:cs="Arial"/>
          <w:b/>
          <w:sz w:val="24"/>
          <w:szCs w:val="24"/>
          <w:u w:val="single"/>
        </w:rPr>
        <w:t>Chief Executive Services</w:t>
      </w:r>
    </w:p>
    <w:p w:rsidR="00606EEB" w:rsidRPr="00606EEB" w:rsidRDefault="00BC15A2" w:rsidP="00606EEB">
      <w:pPr>
        <w:rPr>
          <w:rFonts w:ascii="Arial" w:hAnsi="Arial" w:cs="Arial"/>
          <w:sz w:val="24"/>
          <w:szCs w:val="24"/>
          <w:highlight w:val="yellow"/>
        </w:rPr>
      </w:pPr>
    </w:p>
    <w:tbl>
      <w:tblPr>
        <w:tblW w:w="14458" w:type="dxa"/>
        <w:tblLook w:val="04A0" w:firstRow="1" w:lastRow="0" w:firstColumn="1" w:lastColumn="0" w:noHBand="0" w:noVBand="1"/>
      </w:tblPr>
      <w:tblGrid>
        <w:gridCol w:w="2000"/>
        <w:gridCol w:w="1314"/>
        <w:gridCol w:w="1314"/>
        <w:gridCol w:w="1314"/>
        <w:gridCol w:w="1114"/>
        <w:gridCol w:w="1048"/>
        <w:gridCol w:w="1048"/>
        <w:gridCol w:w="1114"/>
        <w:gridCol w:w="1048"/>
        <w:gridCol w:w="1048"/>
        <w:gridCol w:w="1048"/>
        <w:gridCol w:w="1048"/>
      </w:tblGrid>
      <w:tr w:rsidR="006A7256" w:rsidTr="00FF0E49">
        <w:trPr>
          <w:trHeight w:val="1053"/>
        </w:trPr>
        <w:tc>
          <w:tcPr>
            <w:tcW w:w="1861" w:type="dxa"/>
            <w:tcBorders>
              <w:top w:val="single" w:sz="4" w:space="0" w:color="auto"/>
              <w:left w:val="single" w:sz="4" w:space="0" w:color="auto"/>
              <w:bottom w:val="nil"/>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CHIEF EXECUTIVE SERVICES</w:t>
            </w:r>
          </w:p>
        </w:tc>
        <w:tc>
          <w:tcPr>
            <w:tcW w:w="1173"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w:t>
            </w:r>
            <w:r w:rsidRPr="00FF0E49">
              <w:rPr>
                <w:rFonts w:ascii="Arial" w:eastAsia="Times New Roman" w:hAnsi="Arial" w:cs="Arial"/>
                <w:b/>
                <w:bCs/>
                <w:color w:val="000000"/>
                <w:sz w:val="19"/>
                <w:szCs w:val="19"/>
                <w:lang w:eastAsia="en-GB"/>
              </w:rPr>
              <w:t xml:space="preserve">Expenditure Budget </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Expenditure Forecast Outturn </w:t>
            </w:r>
          </w:p>
        </w:tc>
        <w:tc>
          <w:tcPr>
            <w:tcW w:w="1172"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Expenditure Forecast Variance</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Income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Current Period Income Forecast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Income Forecast Variance</w:t>
            </w:r>
          </w:p>
        </w:tc>
        <w:tc>
          <w:tcPr>
            <w:tcW w:w="1138"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Approved Net Budget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w:t>
            </w:r>
            <w:r w:rsidRPr="00FF0E49">
              <w:rPr>
                <w:rFonts w:ascii="Arial" w:eastAsia="Times New Roman" w:hAnsi="Arial" w:cs="Arial"/>
                <w:b/>
                <w:bCs/>
                <w:color w:val="000000"/>
                <w:sz w:val="19"/>
                <w:szCs w:val="19"/>
                <w:lang w:eastAsia="en-GB"/>
              </w:rPr>
              <w:t xml:space="preserve">recast Outturn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Current Period Net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xml:space="preserve"> Current Period Net Forecast Variance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Q2 Variance</w:t>
            </w:r>
          </w:p>
        </w:tc>
      </w:tr>
      <w:tr w:rsidR="006A7256" w:rsidTr="00FF0E49">
        <w:trPr>
          <w:trHeight w:val="247"/>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 </w:t>
            </w:r>
          </w:p>
        </w:tc>
        <w:tc>
          <w:tcPr>
            <w:tcW w:w="1173"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8"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8"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center"/>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£m</w:t>
            </w:r>
          </w:p>
        </w:tc>
      </w:tr>
      <w:tr w:rsidR="006A7256" w:rsidTr="00B15B9C">
        <w:trPr>
          <w:trHeight w:val="399"/>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CHIEF EXECUTIVE</w:t>
            </w:r>
          </w:p>
        </w:tc>
        <w:tc>
          <w:tcPr>
            <w:tcW w:w="1173"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3.873</w:t>
            </w:r>
          </w:p>
        </w:tc>
        <w:tc>
          <w:tcPr>
            <w:tcW w:w="1172"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3.892</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0.019</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-0.454</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-0.444</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0.010</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3.419</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3.448</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0.029</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0.85%</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0.054</w:t>
            </w:r>
          </w:p>
        </w:tc>
      </w:tr>
      <w:tr w:rsidR="006A7256" w:rsidTr="00B15B9C">
        <w:trPr>
          <w:trHeight w:val="420"/>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COMMUNICATIONS</w:t>
            </w:r>
          </w:p>
        </w:tc>
        <w:tc>
          <w:tcPr>
            <w:tcW w:w="1173"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1.124</w:t>
            </w:r>
          </w:p>
        </w:tc>
        <w:tc>
          <w:tcPr>
            <w:tcW w:w="1172"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1.181</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0.057</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-0.187</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-0.162</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0.025</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0.937</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1.019</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0.082</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8.75%</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0.071</w:t>
            </w:r>
          </w:p>
        </w:tc>
      </w:tr>
      <w:tr w:rsidR="006A7256" w:rsidTr="00FF0E49">
        <w:trPr>
          <w:trHeight w:val="631"/>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CORPORATE BUDGETS (FUNDING AND GRANTS)</w:t>
            </w:r>
          </w:p>
        </w:tc>
        <w:tc>
          <w:tcPr>
            <w:tcW w:w="1173"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3.076</w:t>
            </w:r>
          </w:p>
        </w:tc>
        <w:tc>
          <w:tcPr>
            <w:tcW w:w="1172"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2.119</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-0.957</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-10.245</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-11.502</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-1.257</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-7.169</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-9.383</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-2.214</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-30.88%</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-2.213</w:t>
            </w:r>
          </w:p>
        </w:tc>
      </w:tr>
      <w:tr w:rsidR="006A7256" w:rsidTr="00FF0E49">
        <w:trPr>
          <w:trHeight w:val="842"/>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CORPORATE BUDGETS (TREASURY MANAGEMENT)</w:t>
            </w:r>
          </w:p>
        </w:tc>
        <w:tc>
          <w:tcPr>
            <w:tcW w:w="1173"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39.142</w:t>
            </w:r>
          </w:p>
        </w:tc>
        <w:tc>
          <w:tcPr>
            <w:tcW w:w="1172"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39.714</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0.572</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-13.096</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-36.473</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-23.377</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26.046</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3.241</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-22.805</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-87.56%</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-23.002</w:t>
            </w:r>
          </w:p>
        </w:tc>
      </w:tr>
      <w:tr w:rsidR="006A7256" w:rsidTr="00FF0E49">
        <w:trPr>
          <w:trHeight w:val="1053"/>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CORPORATE BUDGETS (PENSIONS &amp; APPRENTICESHIP LEVY)</w:t>
            </w:r>
          </w:p>
        </w:tc>
        <w:tc>
          <w:tcPr>
            <w:tcW w:w="1173"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21.384</w:t>
            </w:r>
          </w:p>
        </w:tc>
        <w:tc>
          <w:tcPr>
            <w:tcW w:w="1172"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17.499</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-3.885</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0.000</w:t>
            </w:r>
          </w:p>
        </w:tc>
        <w:tc>
          <w:tcPr>
            <w:tcW w:w="1138"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21.384</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17.499</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-3.885</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-18.17%</w:t>
            </w:r>
          </w:p>
        </w:tc>
        <w:tc>
          <w:tcPr>
            <w:tcW w:w="1134" w:type="dxa"/>
            <w:tcBorders>
              <w:top w:val="nil"/>
              <w:left w:val="nil"/>
              <w:bottom w:val="single" w:sz="4" w:space="0" w:color="auto"/>
              <w:right w:val="single" w:sz="4" w:space="0" w:color="auto"/>
            </w:tcBorders>
            <w:shd w:val="clear" w:color="auto" w:fill="auto"/>
            <w:vAlign w:val="center"/>
            <w:hideMark/>
          </w:tcPr>
          <w:p w:rsidR="00FF0E49" w:rsidRPr="00FF0E49" w:rsidRDefault="00BC15A2" w:rsidP="00FF0E49">
            <w:pPr>
              <w:spacing w:after="0" w:line="240" w:lineRule="auto"/>
              <w:jc w:val="right"/>
              <w:rPr>
                <w:rFonts w:ascii="Arial" w:eastAsia="Times New Roman" w:hAnsi="Arial" w:cs="Arial"/>
                <w:color w:val="000000"/>
                <w:sz w:val="19"/>
                <w:szCs w:val="19"/>
                <w:lang w:eastAsia="en-GB"/>
              </w:rPr>
            </w:pPr>
            <w:r w:rsidRPr="00FF0E49">
              <w:rPr>
                <w:rFonts w:ascii="Arial" w:eastAsia="Times New Roman" w:hAnsi="Arial" w:cs="Arial"/>
                <w:color w:val="000000"/>
                <w:sz w:val="19"/>
                <w:szCs w:val="19"/>
                <w:lang w:eastAsia="en-GB"/>
              </w:rPr>
              <w:t>-3.885</w:t>
            </w:r>
          </w:p>
        </w:tc>
      </w:tr>
      <w:tr w:rsidR="006A7256" w:rsidTr="00FF0E49">
        <w:trPr>
          <w:trHeight w:val="631"/>
        </w:trPr>
        <w:tc>
          <w:tcPr>
            <w:tcW w:w="1861" w:type="dxa"/>
            <w:tcBorders>
              <w:top w:val="nil"/>
              <w:left w:val="single" w:sz="4" w:space="0" w:color="auto"/>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TOTAL CHIEF EXECUTIVE SERVICES</w:t>
            </w:r>
          </w:p>
        </w:tc>
        <w:tc>
          <w:tcPr>
            <w:tcW w:w="1173"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68.599</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64.405</w:t>
            </w:r>
          </w:p>
        </w:tc>
        <w:tc>
          <w:tcPr>
            <w:tcW w:w="1172"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-4.194</w:t>
            </w:r>
          </w:p>
        </w:tc>
        <w:tc>
          <w:tcPr>
            <w:tcW w:w="1138"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-23.982</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-48.581</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-24.599</w:t>
            </w:r>
          </w:p>
        </w:tc>
        <w:tc>
          <w:tcPr>
            <w:tcW w:w="1138"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44.617</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15.824</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-28.793</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-64.53%</w:t>
            </w:r>
          </w:p>
        </w:tc>
        <w:tc>
          <w:tcPr>
            <w:tcW w:w="1134" w:type="dxa"/>
            <w:tcBorders>
              <w:top w:val="nil"/>
              <w:left w:val="nil"/>
              <w:bottom w:val="single" w:sz="4" w:space="0" w:color="auto"/>
              <w:right w:val="single" w:sz="4" w:space="0" w:color="auto"/>
            </w:tcBorders>
            <w:shd w:val="clear" w:color="000000" w:fill="D9D9D9"/>
            <w:vAlign w:val="center"/>
            <w:hideMark/>
          </w:tcPr>
          <w:p w:rsidR="00FF0E49" w:rsidRPr="00FF0E49" w:rsidRDefault="00BC15A2" w:rsidP="00FF0E49">
            <w:pPr>
              <w:spacing w:after="0" w:line="240" w:lineRule="auto"/>
              <w:jc w:val="right"/>
              <w:rPr>
                <w:rFonts w:ascii="Arial" w:eastAsia="Times New Roman" w:hAnsi="Arial" w:cs="Arial"/>
                <w:b/>
                <w:bCs/>
                <w:color w:val="000000"/>
                <w:sz w:val="19"/>
                <w:szCs w:val="19"/>
                <w:lang w:eastAsia="en-GB"/>
              </w:rPr>
            </w:pPr>
            <w:r w:rsidRPr="00FF0E49">
              <w:rPr>
                <w:rFonts w:ascii="Arial" w:eastAsia="Times New Roman" w:hAnsi="Arial" w:cs="Arial"/>
                <w:b/>
                <w:bCs/>
                <w:color w:val="000000"/>
                <w:sz w:val="19"/>
                <w:szCs w:val="19"/>
                <w:lang w:eastAsia="en-GB"/>
              </w:rPr>
              <w:t>-28.975</w:t>
            </w:r>
          </w:p>
        </w:tc>
      </w:tr>
    </w:tbl>
    <w:p w:rsidR="000737AF" w:rsidRPr="00606EEB" w:rsidRDefault="00BC15A2" w:rsidP="00606EEB">
      <w:pPr>
        <w:rPr>
          <w:rFonts w:ascii="Arial" w:hAnsi="Arial" w:cs="Arial"/>
          <w:sz w:val="24"/>
          <w:szCs w:val="24"/>
          <w:highlight w:val="yellow"/>
        </w:rPr>
      </w:pPr>
    </w:p>
    <w:p w:rsidR="00606EEB" w:rsidRPr="00CC4FDE" w:rsidRDefault="00BC15A2" w:rsidP="00606EEB">
      <w:pPr>
        <w:autoSpaceDE w:val="0"/>
        <w:autoSpaceDN w:val="0"/>
        <w:adjustRightInd w:val="0"/>
        <w:spacing w:after="0" w:line="240" w:lineRule="auto"/>
        <w:jc w:val="both"/>
        <w:rPr>
          <w:rFonts w:ascii="Arial" w:hAnsi="Arial" w:cs="Arial"/>
          <w:sz w:val="24"/>
          <w:szCs w:val="24"/>
        </w:rPr>
      </w:pPr>
      <w:r w:rsidRPr="00CC4FDE">
        <w:rPr>
          <w:rFonts w:ascii="Arial" w:hAnsi="Arial" w:cs="Arial"/>
          <w:b/>
          <w:sz w:val="24"/>
          <w:szCs w:val="24"/>
        </w:rPr>
        <w:t>Chief Executive Services - forecast underspend £28.793m</w:t>
      </w:r>
      <w:r w:rsidRPr="00CC4FDE">
        <w:rPr>
          <w:rFonts w:ascii="Arial" w:hAnsi="Arial" w:cs="Arial"/>
          <w:sz w:val="24"/>
          <w:szCs w:val="24"/>
        </w:rPr>
        <w:t xml:space="preserve"> </w:t>
      </w:r>
    </w:p>
    <w:p w:rsidR="00D12D70" w:rsidRPr="00CC4FDE" w:rsidRDefault="00BC15A2" w:rsidP="00606EEB">
      <w:pPr>
        <w:autoSpaceDE w:val="0"/>
        <w:autoSpaceDN w:val="0"/>
        <w:adjustRightInd w:val="0"/>
        <w:spacing w:after="0" w:line="240" w:lineRule="auto"/>
        <w:jc w:val="both"/>
        <w:rPr>
          <w:rFonts w:ascii="Arial" w:hAnsi="Arial" w:cs="Arial"/>
          <w:sz w:val="24"/>
          <w:szCs w:val="24"/>
        </w:rPr>
      </w:pPr>
    </w:p>
    <w:p w:rsidR="00606EEB" w:rsidRPr="00293783" w:rsidRDefault="00BC15A2" w:rsidP="00606EEB">
      <w:pPr>
        <w:autoSpaceDE w:val="0"/>
        <w:autoSpaceDN w:val="0"/>
        <w:adjustRightInd w:val="0"/>
        <w:spacing w:after="0" w:line="240" w:lineRule="auto"/>
        <w:jc w:val="both"/>
        <w:rPr>
          <w:rFonts w:ascii="Arial" w:hAnsi="Arial" w:cs="Arial"/>
          <w:sz w:val="24"/>
          <w:szCs w:val="24"/>
        </w:rPr>
      </w:pPr>
      <w:r w:rsidRPr="00CC4FDE">
        <w:rPr>
          <w:rFonts w:ascii="Arial" w:hAnsi="Arial" w:cs="Arial"/>
          <w:sz w:val="24"/>
          <w:szCs w:val="24"/>
        </w:rPr>
        <w:t xml:space="preserve">This relates to forecast gains across the treasury management budget £22.805m primarily as a result of extra income received through the continuing volatility in the price </w:t>
      </w:r>
      <w:r w:rsidRPr="00CC4FDE">
        <w:rPr>
          <w:rFonts w:ascii="Arial" w:hAnsi="Arial" w:cs="Arial"/>
          <w:sz w:val="24"/>
          <w:szCs w:val="24"/>
        </w:rPr>
        <w:t>of gilts and other bonds enabling sales to be made which have generated a significant surplus. Further savings are due to the final year of the pension prepayment £4.403m and additional income from a surplus on the collection fund £1.132m.</w:t>
      </w:r>
    </w:p>
    <w:sectPr w:rsidR="00606EEB" w:rsidRPr="00293783" w:rsidSect="00FC63C0">
      <w:headerReference w:type="even" r:id="rId9"/>
      <w:headerReference w:type="default" r:id="rId10"/>
      <w:footerReference w:type="even" r:id="rId11"/>
      <w:footerReference w:type="default" r:id="rId12"/>
      <w:headerReference w:type="first" r:id="rId13"/>
      <w:footerReference w:type="first" r:id="rId14"/>
      <w:pgSz w:w="16838" w:h="11906" w:orient="landscape"/>
      <w:pgMar w:top="1142" w:right="1474"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15A2">
      <w:pPr>
        <w:spacing w:after="0" w:line="240" w:lineRule="auto"/>
      </w:pPr>
      <w:r>
        <w:separator/>
      </w:r>
    </w:p>
  </w:endnote>
  <w:endnote w:type="continuationSeparator" w:id="0">
    <w:p w:rsidR="00000000" w:rsidRDefault="00BC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A2" w:rsidRDefault="00BC1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8734"/>
      <w:docPartObj>
        <w:docPartGallery w:val="Page Numbers (Bottom of Page)"/>
        <w:docPartUnique/>
      </w:docPartObj>
    </w:sdtPr>
    <w:sdtEndPr>
      <w:rPr>
        <w:noProof/>
      </w:rPr>
    </w:sdtEndPr>
    <w:sdtContent>
      <w:bookmarkStart w:id="0" w:name="_GoBack" w:displacedByCustomXml="prev"/>
      <w:bookmarkEnd w:id="0" w:displacedByCustomXml="prev"/>
      <w:p w:rsidR="005844C0" w:rsidRDefault="00BC15A2" w:rsidP="00BC15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844C0" w:rsidRDefault="00BC1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A2" w:rsidRDefault="00BC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15A2">
      <w:pPr>
        <w:spacing w:after="0" w:line="240" w:lineRule="auto"/>
      </w:pPr>
      <w:r>
        <w:separator/>
      </w:r>
    </w:p>
  </w:footnote>
  <w:footnote w:type="continuationSeparator" w:id="0">
    <w:p w:rsidR="00000000" w:rsidRDefault="00BC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A2" w:rsidRDefault="00BC1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A2" w:rsidRDefault="00BC1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A2" w:rsidRDefault="00BC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2"/>
    <w:multiLevelType w:val="hybridMultilevel"/>
    <w:tmpl w:val="B24EFF2A"/>
    <w:lvl w:ilvl="0" w:tplc="65AE4B0E">
      <w:start w:val="1"/>
      <w:numFmt w:val="bullet"/>
      <w:lvlText w:val=""/>
      <w:lvlJc w:val="left"/>
      <w:pPr>
        <w:ind w:left="720" w:hanging="360"/>
      </w:pPr>
      <w:rPr>
        <w:rFonts w:ascii="Symbol" w:hAnsi="Symbol" w:hint="default"/>
      </w:rPr>
    </w:lvl>
    <w:lvl w:ilvl="1" w:tplc="E9FCF5CE" w:tentative="1">
      <w:start w:val="1"/>
      <w:numFmt w:val="bullet"/>
      <w:lvlText w:val="o"/>
      <w:lvlJc w:val="left"/>
      <w:pPr>
        <w:ind w:left="1440" w:hanging="360"/>
      </w:pPr>
      <w:rPr>
        <w:rFonts w:ascii="Courier New" w:hAnsi="Courier New" w:cs="Courier New" w:hint="default"/>
      </w:rPr>
    </w:lvl>
    <w:lvl w:ilvl="2" w:tplc="8F50809C" w:tentative="1">
      <w:start w:val="1"/>
      <w:numFmt w:val="bullet"/>
      <w:lvlText w:val=""/>
      <w:lvlJc w:val="left"/>
      <w:pPr>
        <w:ind w:left="2160" w:hanging="360"/>
      </w:pPr>
      <w:rPr>
        <w:rFonts w:ascii="Wingdings" w:hAnsi="Wingdings" w:hint="default"/>
      </w:rPr>
    </w:lvl>
    <w:lvl w:ilvl="3" w:tplc="3E4E8944" w:tentative="1">
      <w:start w:val="1"/>
      <w:numFmt w:val="bullet"/>
      <w:lvlText w:val=""/>
      <w:lvlJc w:val="left"/>
      <w:pPr>
        <w:ind w:left="2880" w:hanging="360"/>
      </w:pPr>
      <w:rPr>
        <w:rFonts w:ascii="Symbol" w:hAnsi="Symbol" w:hint="default"/>
      </w:rPr>
    </w:lvl>
    <w:lvl w:ilvl="4" w:tplc="563A70CC" w:tentative="1">
      <w:start w:val="1"/>
      <w:numFmt w:val="bullet"/>
      <w:lvlText w:val="o"/>
      <w:lvlJc w:val="left"/>
      <w:pPr>
        <w:ind w:left="3600" w:hanging="360"/>
      </w:pPr>
      <w:rPr>
        <w:rFonts w:ascii="Courier New" w:hAnsi="Courier New" w:cs="Courier New" w:hint="default"/>
      </w:rPr>
    </w:lvl>
    <w:lvl w:ilvl="5" w:tplc="A8B22ED8" w:tentative="1">
      <w:start w:val="1"/>
      <w:numFmt w:val="bullet"/>
      <w:lvlText w:val=""/>
      <w:lvlJc w:val="left"/>
      <w:pPr>
        <w:ind w:left="4320" w:hanging="360"/>
      </w:pPr>
      <w:rPr>
        <w:rFonts w:ascii="Wingdings" w:hAnsi="Wingdings" w:hint="default"/>
      </w:rPr>
    </w:lvl>
    <w:lvl w:ilvl="6" w:tplc="A50C4082" w:tentative="1">
      <w:start w:val="1"/>
      <w:numFmt w:val="bullet"/>
      <w:lvlText w:val=""/>
      <w:lvlJc w:val="left"/>
      <w:pPr>
        <w:ind w:left="5040" w:hanging="360"/>
      </w:pPr>
      <w:rPr>
        <w:rFonts w:ascii="Symbol" w:hAnsi="Symbol" w:hint="default"/>
      </w:rPr>
    </w:lvl>
    <w:lvl w:ilvl="7" w:tplc="17E87A24" w:tentative="1">
      <w:start w:val="1"/>
      <w:numFmt w:val="bullet"/>
      <w:lvlText w:val="o"/>
      <w:lvlJc w:val="left"/>
      <w:pPr>
        <w:ind w:left="5760" w:hanging="360"/>
      </w:pPr>
      <w:rPr>
        <w:rFonts w:ascii="Courier New" w:hAnsi="Courier New" w:cs="Courier New" w:hint="default"/>
      </w:rPr>
    </w:lvl>
    <w:lvl w:ilvl="8" w:tplc="35C2A9F6" w:tentative="1">
      <w:start w:val="1"/>
      <w:numFmt w:val="bullet"/>
      <w:lvlText w:val=""/>
      <w:lvlJc w:val="left"/>
      <w:pPr>
        <w:ind w:left="6480" w:hanging="360"/>
      </w:pPr>
      <w:rPr>
        <w:rFonts w:ascii="Wingdings" w:hAnsi="Wingdings" w:hint="default"/>
      </w:rPr>
    </w:lvl>
  </w:abstractNum>
  <w:abstractNum w:abstractNumId="1" w15:restartNumberingAfterBreak="0">
    <w:nsid w:val="357C0C9F"/>
    <w:multiLevelType w:val="hybridMultilevel"/>
    <w:tmpl w:val="A63A90D2"/>
    <w:lvl w:ilvl="0" w:tplc="10F03510">
      <w:start w:val="1"/>
      <w:numFmt w:val="bullet"/>
      <w:lvlText w:val=""/>
      <w:lvlJc w:val="left"/>
      <w:pPr>
        <w:ind w:left="720" w:hanging="360"/>
      </w:pPr>
      <w:rPr>
        <w:rFonts w:ascii="Symbol" w:hAnsi="Symbol" w:hint="default"/>
      </w:rPr>
    </w:lvl>
    <w:lvl w:ilvl="1" w:tplc="03D8E3AE" w:tentative="1">
      <w:start w:val="1"/>
      <w:numFmt w:val="bullet"/>
      <w:lvlText w:val="o"/>
      <w:lvlJc w:val="left"/>
      <w:pPr>
        <w:ind w:left="1440" w:hanging="360"/>
      </w:pPr>
      <w:rPr>
        <w:rFonts w:ascii="Courier New" w:hAnsi="Courier New" w:cs="Courier New" w:hint="default"/>
      </w:rPr>
    </w:lvl>
    <w:lvl w:ilvl="2" w:tplc="43F22B68" w:tentative="1">
      <w:start w:val="1"/>
      <w:numFmt w:val="bullet"/>
      <w:lvlText w:val=""/>
      <w:lvlJc w:val="left"/>
      <w:pPr>
        <w:ind w:left="2160" w:hanging="360"/>
      </w:pPr>
      <w:rPr>
        <w:rFonts w:ascii="Wingdings" w:hAnsi="Wingdings" w:hint="default"/>
      </w:rPr>
    </w:lvl>
    <w:lvl w:ilvl="3" w:tplc="C120644E" w:tentative="1">
      <w:start w:val="1"/>
      <w:numFmt w:val="bullet"/>
      <w:lvlText w:val=""/>
      <w:lvlJc w:val="left"/>
      <w:pPr>
        <w:ind w:left="2880" w:hanging="360"/>
      </w:pPr>
      <w:rPr>
        <w:rFonts w:ascii="Symbol" w:hAnsi="Symbol" w:hint="default"/>
      </w:rPr>
    </w:lvl>
    <w:lvl w:ilvl="4" w:tplc="59EAE440" w:tentative="1">
      <w:start w:val="1"/>
      <w:numFmt w:val="bullet"/>
      <w:lvlText w:val="o"/>
      <w:lvlJc w:val="left"/>
      <w:pPr>
        <w:ind w:left="3600" w:hanging="360"/>
      </w:pPr>
      <w:rPr>
        <w:rFonts w:ascii="Courier New" w:hAnsi="Courier New" w:cs="Courier New" w:hint="default"/>
      </w:rPr>
    </w:lvl>
    <w:lvl w:ilvl="5" w:tplc="075E2236" w:tentative="1">
      <w:start w:val="1"/>
      <w:numFmt w:val="bullet"/>
      <w:lvlText w:val=""/>
      <w:lvlJc w:val="left"/>
      <w:pPr>
        <w:ind w:left="4320" w:hanging="360"/>
      </w:pPr>
      <w:rPr>
        <w:rFonts w:ascii="Wingdings" w:hAnsi="Wingdings" w:hint="default"/>
      </w:rPr>
    </w:lvl>
    <w:lvl w:ilvl="6" w:tplc="F4D434F4" w:tentative="1">
      <w:start w:val="1"/>
      <w:numFmt w:val="bullet"/>
      <w:lvlText w:val=""/>
      <w:lvlJc w:val="left"/>
      <w:pPr>
        <w:ind w:left="5040" w:hanging="360"/>
      </w:pPr>
      <w:rPr>
        <w:rFonts w:ascii="Symbol" w:hAnsi="Symbol" w:hint="default"/>
      </w:rPr>
    </w:lvl>
    <w:lvl w:ilvl="7" w:tplc="C1403680" w:tentative="1">
      <w:start w:val="1"/>
      <w:numFmt w:val="bullet"/>
      <w:lvlText w:val="o"/>
      <w:lvlJc w:val="left"/>
      <w:pPr>
        <w:ind w:left="5760" w:hanging="360"/>
      </w:pPr>
      <w:rPr>
        <w:rFonts w:ascii="Courier New" w:hAnsi="Courier New" w:cs="Courier New" w:hint="default"/>
      </w:rPr>
    </w:lvl>
    <w:lvl w:ilvl="8" w:tplc="2D5C6BAC" w:tentative="1">
      <w:start w:val="1"/>
      <w:numFmt w:val="bullet"/>
      <w:lvlText w:val=""/>
      <w:lvlJc w:val="left"/>
      <w:pPr>
        <w:ind w:left="6480" w:hanging="360"/>
      </w:pPr>
      <w:rPr>
        <w:rFonts w:ascii="Wingdings" w:hAnsi="Wingdings" w:hint="default"/>
      </w:rPr>
    </w:lvl>
  </w:abstractNum>
  <w:abstractNum w:abstractNumId="2" w15:restartNumberingAfterBreak="0">
    <w:nsid w:val="3D7A414A"/>
    <w:multiLevelType w:val="hybridMultilevel"/>
    <w:tmpl w:val="D13A21EA"/>
    <w:lvl w:ilvl="0" w:tplc="916AFE26">
      <w:start w:val="1"/>
      <w:numFmt w:val="bullet"/>
      <w:lvlText w:val=""/>
      <w:lvlJc w:val="left"/>
      <w:pPr>
        <w:ind w:left="720" w:hanging="360"/>
      </w:pPr>
      <w:rPr>
        <w:rFonts w:ascii="Symbol" w:hAnsi="Symbol" w:hint="default"/>
      </w:rPr>
    </w:lvl>
    <w:lvl w:ilvl="1" w:tplc="ACF0EAA6" w:tentative="1">
      <w:start w:val="1"/>
      <w:numFmt w:val="bullet"/>
      <w:lvlText w:val="o"/>
      <w:lvlJc w:val="left"/>
      <w:pPr>
        <w:ind w:left="1440" w:hanging="360"/>
      </w:pPr>
      <w:rPr>
        <w:rFonts w:ascii="Courier New" w:hAnsi="Courier New" w:cs="Courier New" w:hint="default"/>
      </w:rPr>
    </w:lvl>
    <w:lvl w:ilvl="2" w:tplc="9B8238DA" w:tentative="1">
      <w:start w:val="1"/>
      <w:numFmt w:val="bullet"/>
      <w:lvlText w:val=""/>
      <w:lvlJc w:val="left"/>
      <w:pPr>
        <w:ind w:left="2160" w:hanging="360"/>
      </w:pPr>
      <w:rPr>
        <w:rFonts w:ascii="Wingdings" w:hAnsi="Wingdings" w:hint="default"/>
      </w:rPr>
    </w:lvl>
    <w:lvl w:ilvl="3" w:tplc="75D03CD4" w:tentative="1">
      <w:start w:val="1"/>
      <w:numFmt w:val="bullet"/>
      <w:lvlText w:val=""/>
      <w:lvlJc w:val="left"/>
      <w:pPr>
        <w:ind w:left="2880" w:hanging="360"/>
      </w:pPr>
      <w:rPr>
        <w:rFonts w:ascii="Symbol" w:hAnsi="Symbol" w:hint="default"/>
      </w:rPr>
    </w:lvl>
    <w:lvl w:ilvl="4" w:tplc="1F541C64" w:tentative="1">
      <w:start w:val="1"/>
      <w:numFmt w:val="bullet"/>
      <w:lvlText w:val="o"/>
      <w:lvlJc w:val="left"/>
      <w:pPr>
        <w:ind w:left="3600" w:hanging="360"/>
      </w:pPr>
      <w:rPr>
        <w:rFonts w:ascii="Courier New" w:hAnsi="Courier New" w:cs="Courier New" w:hint="default"/>
      </w:rPr>
    </w:lvl>
    <w:lvl w:ilvl="5" w:tplc="AA2CD5A2" w:tentative="1">
      <w:start w:val="1"/>
      <w:numFmt w:val="bullet"/>
      <w:lvlText w:val=""/>
      <w:lvlJc w:val="left"/>
      <w:pPr>
        <w:ind w:left="4320" w:hanging="360"/>
      </w:pPr>
      <w:rPr>
        <w:rFonts w:ascii="Wingdings" w:hAnsi="Wingdings" w:hint="default"/>
      </w:rPr>
    </w:lvl>
    <w:lvl w:ilvl="6" w:tplc="3614FF18" w:tentative="1">
      <w:start w:val="1"/>
      <w:numFmt w:val="bullet"/>
      <w:lvlText w:val=""/>
      <w:lvlJc w:val="left"/>
      <w:pPr>
        <w:ind w:left="5040" w:hanging="360"/>
      </w:pPr>
      <w:rPr>
        <w:rFonts w:ascii="Symbol" w:hAnsi="Symbol" w:hint="default"/>
      </w:rPr>
    </w:lvl>
    <w:lvl w:ilvl="7" w:tplc="FA229F14" w:tentative="1">
      <w:start w:val="1"/>
      <w:numFmt w:val="bullet"/>
      <w:lvlText w:val="o"/>
      <w:lvlJc w:val="left"/>
      <w:pPr>
        <w:ind w:left="5760" w:hanging="360"/>
      </w:pPr>
      <w:rPr>
        <w:rFonts w:ascii="Courier New" w:hAnsi="Courier New" w:cs="Courier New" w:hint="default"/>
      </w:rPr>
    </w:lvl>
    <w:lvl w:ilvl="8" w:tplc="2FE2485C" w:tentative="1">
      <w:start w:val="1"/>
      <w:numFmt w:val="bullet"/>
      <w:lvlText w:val=""/>
      <w:lvlJc w:val="left"/>
      <w:pPr>
        <w:ind w:left="6480" w:hanging="360"/>
      </w:pPr>
      <w:rPr>
        <w:rFonts w:ascii="Wingdings" w:hAnsi="Wingdings" w:hint="default"/>
      </w:rPr>
    </w:lvl>
  </w:abstractNum>
  <w:abstractNum w:abstractNumId="3" w15:restartNumberingAfterBreak="0">
    <w:nsid w:val="414E1378"/>
    <w:multiLevelType w:val="hybridMultilevel"/>
    <w:tmpl w:val="F0A8EE2C"/>
    <w:lvl w:ilvl="0" w:tplc="67C2E226">
      <w:start w:val="1"/>
      <w:numFmt w:val="bullet"/>
      <w:lvlText w:val=""/>
      <w:lvlJc w:val="left"/>
      <w:pPr>
        <w:ind w:left="720" w:hanging="360"/>
      </w:pPr>
      <w:rPr>
        <w:rFonts w:ascii="Symbol" w:hAnsi="Symbol" w:hint="default"/>
      </w:rPr>
    </w:lvl>
    <w:lvl w:ilvl="1" w:tplc="5EAC4866" w:tentative="1">
      <w:start w:val="1"/>
      <w:numFmt w:val="bullet"/>
      <w:lvlText w:val="o"/>
      <w:lvlJc w:val="left"/>
      <w:pPr>
        <w:ind w:left="1440" w:hanging="360"/>
      </w:pPr>
      <w:rPr>
        <w:rFonts w:ascii="Courier New" w:hAnsi="Courier New" w:cs="Courier New" w:hint="default"/>
      </w:rPr>
    </w:lvl>
    <w:lvl w:ilvl="2" w:tplc="F740E7C2" w:tentative="1">
      <w:start w:val="1"/>
      <w:numFmt w:val="bullet"/>
      <w:lvlText w:val=""/>
      <w:lvlJc w:val="left"/>
      <w:pPr>
        <w:ind w:left="2160" w:hanging="360"/>
      </w:pPr>
      <w:rPr>
        <w:rFonts w:ascii="Wingdings" w:hAnsi="Wingdings" w:hint="default"/>
      </w:rPr>
    </w:lvl>
    <w:lvl w:ilvl="3" w:tplc="A1DC0D06" w:tentative="1">
      <w:start w:val="1"/>
      <w:numFmt w:val="bullet"/>
      <w:lvlText w:val=""/>
      <w:lvlJc w:val="left"/>
      <w:pPr>
        <w:ind w:left="2880" w:hanging="360"/>
      </w:pPr>
      <w:rPr>
        <w:rFonts w:ascii="Symbol" w:hAnsi="Symbol" w:hint="default"/>
      </w:rPr>
    </w:lvl>
    <w:lvl w:ilvl="4" w:tplc="0F7C5E3C" w:tentative="1">
      <w:start w:val="1"/>
      <w:numFmt w:val="bullet"/>
      <w:lvlText w:val="o"/>
      <w:lvlJc w:val="left"/>
      <w:pPr>
        <w:ind w:left="3600" w:hanging="360"/>
      </w:pPr>
      <w:rPr>
        <w:rFonts w:ascii="Courier New" w:hAnsi="Courier New" w:cs="Courier New" w:hint="default"/>
      </w:rPr>
    </w:lvl>
    <w:lvl w:ilvl="5" w:tplc="9B2C7B92" w:tentative="1">
      <w:start w:val="1"/>
      <w:numFmt w:val="bullet"/>
      <w:lvlText w:val=""/>
      <w:lvlJc w:val="left"/>
      <w:pPr>
        <w:ind w:left="4320" w:hanging="360"/>
      </w:pPr>
      <w:rPr>
        <w:rFonts w:ascii="Wingdings" w:hAnsi="Wingdings" w:hint="default"/>
      </w:rPr>
    </w:lvl>
    <w:lvl w:ilvl="6" w:tplc="2002682A" w:tentative="1">
      <w:start w:val="1"/>
      <w:numFmt w:val="bullet"/>
      <w:lvlText w:val=""/>
      <w:lvlJc w:val="left"/>
      <w:pPr>
        <w:ind w:left="5040" w:hanging="360"/>
      </w:pPr>
      <w:rPr>
        <w:rFonts w:ascii="Symbol" w:hAnsi="Symbol" w:hint="default"/>
      </w:rPr>
    </w:lvl>
    <w:lvl w:ilvl="7" w:tplc="9A367FD2" w:tentative="1">
      <w:start w:val="1"/>
      <w:numFmt w:val="bullet"/>
      <w:lvlText w:val="o"/>
      <w:lvlJc w:val="left"/>
      <w:pPr>
        <w:ind w:left="5760" w:hanging="360"/>
      </w:pPr>
      <w:rPr>
        <w:rFonts w:ascii="Courier New" w:hAnsi="Courier New" w:cs="Courier New" w:hint="default"/>
      </w:rPr>
    </w:lvl>
    <w:lvl w:ilvl="8" w:tplc="08A62AC4" w:tentative="1">
      <w:start w:val="1"/>
      <w:numFmt w:val="bullet"/>
      <w:lvlText w:val=""/>
      <w:lvlJc w:val="left"/>
      <w:pPr>
        <w:ind w:left="6480" w:hanging="360"/>
      </w:pPr>
      <w:rPr>
        <w:rFonts w:ascii="Wingdings" w:hAnsi="Wingdings" w:hint="default"/>
      </w:rPr>
    </w:lvl>
  </w:abstractNum>
  <w:abstractNum w:abstractNumId="4" w15:restartNumberingAfterBreak="0">
    <w:nsid w:val="417904F1"/>
    <w:multiLevelType w:val="hybridMultilevel"/>
    <w:tmpl w:val="29CA8C62"/>
    <w:lvl w:ilvl="0" w:tplc="5AA4D71C">
      <w:start w:val="1"/>
      <w:numFmt w:val="decimal"/>
      <w:lvlText w:val="%1."/>
      <w:lvlJc w:val="left"/>
      <w:pPr>
        <w:ind w:left="-454" w:firstLine="454"/>
      </w:pPr>
      <w:rPr>
        <w:rFonts w:hint="default"/>
        <w:b/>
      </w:rPr>
    </w:lvl>
    <w:lvl w:ilvl="1" w:tplc="F1A85DF2">
      <w:start w:val="1"/>
      <w:numFmt w:val="lowerLetter"/>
      <w:lvlText w:val="%2."/>
      <w:lvlJc w:val="left"/>
      <w:pPr>
        <w:ind w:left="1440" w:hanging="360"/>
      </w:pPr>
    </w:lvl>
    <w:lvl w:ilvl="2" w:tplc="A720FB0A">
      <w:start w:val="1"/>
      <w:numFmt w:val="lowerRoman"/>
      <w:lvlText w:val="%3."/>
      <w:lvlJc w:val="right"/>
      <w:pPr>
        <w:ind w:left="2160" w:hanging="180"/>
      </w:pPr>
    </w:lvl>
    <w:lvl w:ilvl="3" w:tplc="66EE22E2" w:tentative="1">
      <w:start w:val="1"/>
      <w:numFmt w:val="decimal"/>
      <w:lvlText w:val="%4."/>
      <w:lvlJc w:val="left"/>
      <w:pPr>
        <w:ind w:left="2880" w:hanging="360"/>
      </w:pPr>
    </w:lvl>
    <w:lvl w:ilvl="4" w:tplc="7F6600EE" w:tentative="1">
      <w:start w:val="1"/>
      <w:numFmt w:val="lowerLetter"/>
      <w:lvlText w:val="%5."/>
      <w:lvlJc w:val="left"/>
      <w:pPr>
        <w:ind w:left="3600" w:hanging="360"/>
      </w:pPr>
    </w:lvl>
    <w:lvl w:ilvl="5" w:tplc="EF260682" w:tentative="1">
      <w:start w:val="1"/>
      <w:numFmt w:val="lowerRoman"/>
      <w:lvlText w:val="%6."/>
      <w:lvlJc w:val="right"/>
      <w:pPr>
        <w:ind w:left="4320" w:hanging="180"/>
      </w:pPr>
    </w:lvl>
    <w:lvl w:ilvl="6" w:tplc="20D6F952" w:tentative="1">
      <w:start w:val="1"/>
      <w:numFmt w:val="decimal"/>
      <w:lvlText w:val="%7."/>
      <w:lvlJc w:val="left"/>
      <w:pPr>
        <w:ind w:left="5040" w:hanging="360"/>
      </w:pPr>
    </w:lvl>
    <w:lvl w:ilvl="7" w:tplc="67E2A0E8" w:tentative="1">
      <w:start w:val="1"/>
      <w:numFmt w:val="lowerLetter"/>
      <w:lvlText w:val="%8."/>
      <w:lvlJc w:val="left"/>
      <w:pPr>
        <w:ind w:left="5760" w:hanging="360"/>
      </w:pPr>
    </w:lvl>
    <w:lvl w:ilvl="8" w:tplc="6B54ECAC" w:tentative="1">
      <w:start w:val="1"/>
      <w:numFmt w:val="lowerRoman"/>
      <w:lvlText w:val="%9."/>
      <w:lvlJc w:val="right"/>
      <w:pPr>
        <w:ind w:left="6480" w:hanging="180"/>
      </w:pPr>
    </w:lvl>
  </w:abstractNum>
  <w:abstractNum w:abstractNumId="5" w15:restartNumberingAfterBreak="0">
    <w:nsid w:val="49EE052D"/>
    <w:multiLevelType w:val="hybridMultilevel"/>
    <w:tmpl w:val="9622078E"/>
    <w:lvl w:ilvl="0" w:tplc="488EDC42">
      <w:start w:val="1"/>
      <w:numFmt w:val="bullet"/>
      <w:lvlText w:val=""/>
      <w:lvlJc w:val="left"/>
      <w:pPr>
        <w:ind w:left="360" w:hanging="360"/>
      </w:pPr>
      <w:rPr>
        <w:rFonts w:ascii="Symbol" w:hAnsi="Symbol" w:hint="default"/>
      </w:rPr>
    </w:lvl>
    <w:lvl w:ilvl="1" w:tplc="6DB884C8" w:tentative="1">
      <w:start w:val="1"/>
      <w:numFmt w:val="bullet"/>
      <w:lvlText w:val="o"/>
      <w:lvlJc w:val="left"/>
      <w:pPr>
        <w:ind w:left="1080" w:hanging="360"/>
      </w:pPr>
      <w:rPr>
        <w:rFonts w:ascii="Courier New" w:hAnsi="Courier New" w:cs="Courier New" w:hint="default"/>
      </w:rPr>
    </w:lvl>
    <w:lvl w:ilvl="2" w:tplc="54A4AFAE" w:tentative="1">
      <w:start w:val="1"/>
      <w:numFmt w:val="bullet"/>
      <w:lvlText w:val=""/>
      <w:lvlJc w:val="left"/>
      <w:pPr>
        <w:ind w:left="1800" w:hanging="360"/>
      </w:pPr>
      <w:rPr>
        <w:rFonts w:ascii="Wingdings" w:hAnsi="Wingdings" w:hint="default"/>
      </w:rPr>
    </w:lvl>
    <w:lvl w:ilvl="3" w:tplc="53764922" w:tentative="1">
      <w:start w:val="1"/>
      <w:numFmt w:val="bullet"/>
      <w:lvlText w:val=""/>
      <w:lvlJc w:val="left"/>
      <w:pPr>
        <w:ind w:left="2520" w:hanging="360"/>
      </w:pPr>
      <w:rPr>
        <w:rFonts w:ascii="Symbol" w:hAnsi="Symbol" w:hint="default"/>
      </w:rPr>
    </w:lvl>
    <w:lvl w:ilvl="4" w:tplc="F6886912" w:tentative="1">
      <w:start w:val="1"/>
      <w:numFmt w:val="bullet"/>
      <w:lvlText w:val="o"/>
      <w:lvlJc w:val="left"/>
      <w:pPr>
        <w:ind w:left="3240" w:hanging="360"/>
      </w:pPr>
      <w:rPr>
        <w:rFonts w:ascii="Courier New" w:hAnsi="Courier New" w:cs="Courier New" w:hint="default"/>
      </w:rPr>
    </w:lvl>
    <w:lvl w:ilvl="5" w:tplc="2DCE7E92" w:tentative="1">
      <w:start w:val="1"/>
      <w:numFmt w:val="bullet"/>
      <w:lvlText w:val=""/>
      <w:lvlJc w:val="left"/>
      <w:pPr>
        <w:ind w:left="3960" w:hanging="360"/>
      </w:pPr>
      <w:rPr>
        <w:rFonts w:ascii="Wingdings" w:hAnsi="Wingdings" w:hint="default"/>
      </w:rPr>
    </w:lvl>
    <w:lvl w:ilvl="6" w:tplc="2EEA23CC" w:tentative="1">
      <w:start w:val="1"/>
      <w:numFmt w:val="bullet"/>
      <w:lvlText w:val=""/>
      <w:lvlJc w:val="left"/>
      <w:pPr>
        <w:ind w:left="4680" w:hanging="360"/>
      </w:pPr>
      <w:rPr>
        <w:rFonts w:ascii="Symbol" w:hAnsi="Symbol" w:hint="default"/>
      </w:rPr>
    </w:lvl>
    <w:lvl w:ilvl="7" w:tplc="925A1734" w:tentative="1">
      <w:start w:val="1"/>
      <w:numFmt w:val="bullet"/>
      <w:lvlText w:val="o"/>
      <w:lvlJc w:val="left"/>
      <w:pPr>
        <w:ind w:left="5400" w:hanging="360"/>
      </w:pPr>
      <w:rPr>
        <w:rFonts w:ascii="Courier New" w:hAnsi="Courier New" w:cs="Courier New" w:hint="default"/>
      </w:rPr>
    </w:lvl>
    <w:lvl w:ilvl="8" w:tplc="66C63EDA" w:tentative="1">
      <w:start w:val="1"/>
      <w:numFmt w:val="bullet"/>
      <w:lvlText w:val=""/>
      <w:lvlJc w:val="left"/>
      <w:pPr>
        <w:ind w:left="6120" w:hanging="360"/>
      </w:pPr>
      <w:rPr>
        <w:rFonts w:ascii="Wingdings" w:hAnsi="Wingdings" w:hint="default"/>
      </w:rPr>
    </w:lvl>
  </w:abstractNum>
  <w:abstractNum w:abstractNumId="6" w15:restartNumberingAfterBreak="0">
    <w:nsid w:val="582A7CF7"/>
    <w:multiLevelType w:val="hybridMultilevel"/>
    <w:tmpl w:val="A5FAE63A"/>
    <w:lvl w:ilvl="0" w:tplc="962A31C4">
      <w:start w:val="1"/>
      <w:numFmt w:val="bullet"/>
      <w:lvlText w:val=""/>
      <w:lvlJc w:val="left"/>
      <w:pPr>
        <w:ind w:left="720" w:hanging="360"/>
      </w:pPr>
      <w:rPr>
        <w:rFonts w:ascii="Symbol" w:hAnsi="Symbol" w:hint="default"/>
      </w:rPr>
    </w:lvl>
    <w:lvl w:ilvl="1" w:tplc="A3848D34" w:tentative="1">
      <w:start w:val="1"/>
      <w:numFmt w:val="bullet"/>
      <w:lvlText w:val="o"/>
      <w:lvlJc w:val="left"/>
      <w:pPr>
        <w:ind w:left="1440" w:hanging="360"/>
      </w:pPr>
      <w:rPr>
        <w:rFonts w:ascii="Courier New" w:hAnsi="Courier New" w:cs="Courier New" w:hint="default"/>
      </w:rPr>
    </w:lvl>
    <w:lvl w:ilvl="2" w:tplc="86784834" w:tentative="1">
      <w:start w:val="1"/>
      <w:numFmt w:val="bullet"/>
      <w:lvlText w:val=""/>
      <w:lvlJc w:val="left"/>
      <w:pPr>
        <w:ind w:left="2160" w:hanging="360"/>
      </w:pPr>
      <w:rPr>
        <w:rFonts w:ascii="Wingdings" w:hAnsi="Wingdings" w:hint="default"/>
      </w:rPr>
    </w:lvl>
    <w:lvl w:ilvl="3" w:tplc="4EDE0A04" w:tentative="1">
      <w:start w:val="1"/>
      <w:numFmt w:val="bullet"/>
      <w:lvlText w:val=""/>
      <w:lvlJc w:val="left"/>
      <w:pPr>
        <w:ind w:left="2880" w:hanging="360"/>
      </w:pPr>
      <w:rPr>
        <w:rFonts w:ascii="Symbol" w:hAnsi="Symbol" w:hint="default"/>
      </w:rPr>
    </w:lvl>
    <w:lvl w:ilvl="4" w:tplc="9406136E" w:tentative="1">
      <w:start w:val="1"/>
      <w:numFmt w:val="bullet"/>
      <w:lvlText w:val="o"/>
      <w:lvlJc w:val="left"/>
      <w:pPr>
        <w:ind w:left="3600" w:hanging="360"/>
      </w:pPr>
      <w:rPr>
        <w:rFonts w:ascii="Courier New" w:hAnsi="Courier New" w:cs="Courier New" w:hint="default"/>
      </w:rPr>
    </w:lvl>
    <w:lvl w:ilvl="5" w:tplc="DBDE617C" w:tentative="1">
      <w:start w:val="1"/>
      <w:numFmt w:val="bullet"/>
      <w:lvlText w:val=""/>
      <w:lvlJc w:val="left"/>
      <w:pPr>
        <w:ind w:left="4320" w:hanging="360"/>
      </w:pPr>
      <w:rPr>
        <w:rFonts w:ascii="Wingdings" w:hAnsi="Wingdings" w:hint="default"/>
      </w:rPr>
    </w:lvl>
    <w:lvl w:ilvl="6" w:tplc="4D7044A2" w:tentative="1">
      <w:start w:val="1"/>
      <w:numFmt w:val="bullet"/>
      <w:lvlText w:val=""/>
      <w:lvlJc w:val="left"/>
      <w:pPr>
        <w:ind w:left="5040" w:hanging="360"/>
      </w:pPr>
      <w:rPr>
        <w:rFonts w:ascii="Symbol" w:hAnsi="Symbol" w:hint="default"/>
      </w:rPr>
    </w:lvl>
    <w:lvl w:ilvl="7" w:tplc="801AC712" w:tentative="1">
      <w:start w:val="1"/>
      <w:numFmt w:val="bullet"/>
      <w:lvlText w:val="o"/>
      <w:lvlJc w:val="left"/>
      <w:pPr>
        <w:ind w:left="5760" w:hanging="360"/>
      </w:pPr>
      <w:rPr>
        <w:rFonts w:ascii="Courier New" w:hAnsi="Courier New" w:cs="Courier New" w:hint="default"/>
      </w:rPr>
    </w:lvl>
    <w:lvl w:ilvl="8" w:tplc="994C8950" w:tentative="1">
      <w:start w:val="1"/>
      <w:numFmt w:val="bullet"/>
      <w:lvlText w:val=""/>
      <w:lvlJc w:val="left"/>
      <w:pPr>
        <w:ind w:left="6480" w:hanging="360"/>
      </w:pPr>
      <w:rPr>
        <w:rFonts w:ascii="Wingdings" w:hAnsi="Wingdings" w:hint="default"/>
      </w:rPr>
    </w:lvl>
  </w:abstractNum>
  <w:abstractNum w:abstractNumId="7"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3D4D9C"/>
    <w:multiLevelType w:val="hybridMultilevel"/>
    <w:tmpl w:val="AD423056"/>
    <w:lvl w:ilvl="0" w:tplc="8056E658">
      <w:start w:val="1"/>
      <w:numFmt w:val="bullet"/>
      <w:lvlText w:val=""/>
      <w:lvlJc w:val="left"/>
      <w:pPr>
        <w:ind w:left="-131" w:hanging="360"/>
      </w:pPr>
      <w:rPr>
        <w:rFonts w:ascii="Symbol" w:hAnsi="Symbol" w:hint="default"/>
      </w:rPr>
    </w:lvl>
    <w:lvl w:ilvl="1" w:tplc="80EE9322" w:tentative="1">
      <w:start w:val="1"/>
      <w:numFmt w:val="bullet"/>
      <w:lvlText w:val="o"/>
      <w:lvlJc w:val="left"/>
      <w:pPr>
        <w:ind w:left="589" w:hanging="360"/>
      </w:pPr>
      <w:rPr>
        <w:rFonts w:ascii="Courier New" w:hAnsi="Courier New" w:cs="Courier New" w:hint="default"/>
      </w:rPr>
    </w:lvl>
    <w:lvl w:ilvl="2" w:tplc="2AD231FA" w:tentative="1">
      <w:start w:val="1"/>
      <w:numFmt w:val="bullet"/>
      <w:lvlText w:val=""/>
      <w:lvlJc w:val="left"/>
      <w:pPr>
        <w:ind w:left="1309" w:hanging="360"/>
      </w:pPr>
      <w:rPr>
        <w:rFonts w:ascii="Wingdings" w:hAnsi="Wingdings" w:hint="default"/>
      </w:rPr>
    </w:lvl>
    <w:lvl w:ilvl="3" w:tplc="9770373E" w:tentative="1">
      <w:start w:val="1"/>
      <w:numFmt w:val="bullet"/>
      <w:lvlText w:val=""/>
      <w:lvlJc w:val="left"/>
      <w:pPr>
        <w:ind w:left="2029" w:hanging="360"/>
      </w:pPr>
      <w:rPr>
        <w:rFonts w:ascii="Symbol" w:hAnsi="Symbol" w:hint="default"/>
      </w:rPr>
    </w:lvl>
    <w:lvl w:ilvl="4" w:tplc="94924A0C" w:tentative="1">
      <w:start w:val="1"/>
      <w:numFmt w:val="bullet"/>
      <w:lvlText w:val="o"/>
      <w:lvlJc w:val="left"/>
      <w:pPr>
        <w:ind w:left="2749" w:hanging="360"/>
      </w:pPr>
      <w:rPr>
        <w:rFonts w:ascii="Courier New" w:hAnsi="Courier New" w:cs="Courier New" w:hint="default"/>
      </w:rPr>
    </w:lvl>
    <w:lvl w:ilvl="5" w:tplc="0260631E" w:tentative="1">
      <w:start w:val="1"/>
      <w:numFmt w:val="bullet"/>
      <w:lvlText w:val=""/>
      <w:lvlJc w:val="left"/>
      <w:pPr>
        <w:ind w:left="3469" w:hanging="360"/>
      </w:pPr>
      <w:rPr>
        <w:rFonts w:ascii="Wingdings" w:hAnsi="Wingdings" w:hint="default"/>
      </w:rPr>
    </w:lvl>
    <w:lvl w:ilvl="6" w:tplc="D5522FAC" w:tentative="1">
      <w:start w:val="1"/>
      <w:numFmt w:val="bullet"/>
      <w:lvlText w:val=""/>
      <w:lvlJc w:val="left"/>
      <w:pPr>
        <w:ind w:left="4189" w:hanging="360"/>
      </w:pPr>
      <w:rPr>
        <w:rFonts w:ascii="Symbol" w:hAnsi="Symbol" w:hint="default"/>
      </w:rPr>
    </w:lvl>
    <w:lvl w:ilvl="7" w:tplc="5A18E582" w:tentative="1">
      <w:start w:val="1"/>
      <w:numFmt w:val="bullet"/>
      <w:lvlText w:val="o"/>
      <w:lvlJc w:val="left"/>
      <w:pPr>
        <w:ind w:left="4909" w:hanging="360"/>
      </w:pPr>
      <w:rPr>
        <w:rFonts w:ascii="Courier New" w:hAnsi="Courier New" w:cs="Courier New" w:hint="default"/>
      </w:rPr>
    </w:lvl>
    <w:lvl w:ilvl="8" w:tplc="615226A2" w:tentative="1">
      <w:start w:val="1"/>
      <w:numFmt w:val="bullet"/>
      <w:lvlText w:val=""/>
      <w:lvlJc w:val="left"/>
      <w:pPr>
        <w:ind w:left="5629" w:hanging="360"/>
      </w:pPr>
      <w:rPr>
        <w:rFonts w:ascii="Wingdings" w:hAnsi="Wingdings" w:hint="default"/>
      </w:rPr>
    </w:lvl>
  </w:abstractNum>
  <w:abstractNum w:abstractNumId="9" w15:restartNumberingAfterBreak="0">
    <w:nsid w:val="68932B47"/>
    <w:multiLevelType w:val="hybridMultilevel"/>
    <w:tmpl w:val="D062C79E"/>
    <w:lvl w:ilvl="0" w:tplc="ACAE041E">
      <w:start w:val="1"/>
      <w:numFmt w:val="bullet"/>
      <w:lvlText w:val=""/>
      <w:lvlJc w:val="left"/>
      <w:pPr>
        <w:ind w:left="720" w:hanging="360"/>
      </w:pPr>
      <w:rPr>
        <w:rFonts w:ascii="Symbol" w:hAnsi="Symbol" w:hint="default"/>
      </w:rPr>
    </w:lvl>
    <w:lvl w:ilvl="1" w:tplc="5128E936">
      <w:start w:val="1"/>
      <w:numFmt w:val="bullet"/>
      <w:lvlText w:val="o"/>
      <w:lvlJc w:val="left"/>
      <w:pPr>
        <w:ind w:left="1440" w:hanging="360"/>
      </w:pPr>
      <w:rPr>
        <w:rFonts w:ascii="Courier New" w:hAnsi="Courier New" w:cs="Courier New" w:hint="default"/>
      </w:rPr>
    </w:lvl>
    <w:lvl w:ilvl="2" w:tplc="66B0DF7A" w:tentative="1">
      <w:start w:val="1"/>
      <w:numFmt w:val="bullet"/>
      <w:lvlText w:val=""/>
      <w:lvlJc w:val="left"/>
      <w:pPr>
        <w:ind w:left="2160" w:hanging="360"/>
      </w:pPr>
      <w:rPr>
        <w:rFonts w:ascii="Wingdings" w:hAnsi="Wingdings" w:hint="default"/>
      </w:rPr>
    </w:lvl>
    <w:lvl w:ilvl="3" w:tplc="D5EC5B9A" w:tentative="1">
      <w:start w:val="1"/>
      <w:numFmt w:val="bullet"/>
      <w:lvlText w:val=""/>
      <w:lvlJc w:val="left"/>
      <w:pPr>
        <w:ind w:left="2880" w:hanging="360"/>
      </w:pPr>
      <w:rPr>
        <w:rFonts w:ascii="Symbol" w:hAnsi="Symbol" w:hint="default"/>
      </w:rPr>
    </w:lvl>
    <w:lvl w:ilvl="4" w:tplc="841A7B1C" w:tentative="1">
      <w:start w:val="1"/>
      <w:numFmt w:val="bullet"/>
      <w:lvlText w:val="o"/>
      <w:lvlJc w:val="left"/>
      <w:pPr>
        <w:ind w:left="3600" w:hanging="360"/>
      </w:pPr>
      <w:rPr>
        <w:rFonts w:ascii="Courier New" w:hAnsi="Courier New" w:cs="Courier New" w:hint="default"/>
      </w:rPr>
    </w:lvl>
    <w:lvl w:ilvl="5" w:tplc="75DCDD8C" w:tentative="1">
      <w:start w:val="1"/>
      <w:numFmt w:val="bullet"/>
      <w:lvlText w:val=""/>
      <w:lvlJc w:val="left"/>
      <w:pPr>
        <w:ind w:left="4320" w:hanging="360"/>
      </w:pPr>
      <w:rPr>
        <w:rFonts w:ascii="Wingdings" w:hAnsi="Wingdings" w:hint="default"/>
      </w:rPr>
    </w:lvl>
    <w:lvl w:ilvl="6" w:tplc="FBACB332" w:tentative="1">
      <w:start w:val="1"/>
      <w:numFmt w:val="bullet"/>
      <w:lvlText w:val=""/>
      <w:lvlJc w:val="left"/>
      <w:pPr>
        <w:ind w:left="5040" w:hanging="360"/>
      </w:pPr>
      <w:rPr>
        <w:rFonts w:ascii="Symbol" w:hAnsi="Symbol" w:hint="default"/>
      </w:rPr>
    </w:lvl>
    <w:lvl w:ilvl="7" w:tplc="23C6BA6E" w:tentative="1">
      <w:start w:val="1"/>
      <w:numFmt w:val="bullet"/>
      <w:lvlText w:val="o"/>
      <w:lvlJc w:val="left"/>
      <w:pPr>
        <w:ind w:left="5760" w:hanging="360"/>
      </w:pPr>
      <w:rPr>
        <w:rFonts w:ascii="Courier New" w:hAnsi="Courier New" w:cs="Courier New" w:hint="default"/>
      </w:rPr>
    </w:lvl>
    <w:lvl w:ilvl="8" w:tplc="C82CCD3A" w:tentative="1">
      <w:start w:val="1"/>
      <w:numFmt w:val="bullet"/>
      <w:lvlText w:val=""/>
      <w:lvlJc w:val="left"/>
      <w:pPr>
        <w:ind w:left="6480" w:hanging="360"/>
      </w:pPr>
      <w:rPr>
        <w:rFonts w:ascii="Wingdings" w:hAnsi="Wingdings" w:hint="default"/>
      </w:rPr>
    </w:lvl>
  </w:abstractNum>
  <w:abstractNum w:abstractNumId="10" w15:restartNumberingAfterBreak="0">
    <w:nsid w:val="6F9C07D7"/>
    <w:multiLevelType w:val="hybridMultilevel"/>
    <w:tmpl w:val="9544D1EA"/>
    <w:lvl w:ilvl="0" w:tplc="187CAC0A">
      <w:start w:val="1"/>
      <w:numFmt w:val="bullet"/>
      <w:lvlText w:val=""/>
      <w:lvlJc w:val="left"/>
      <w:pPr>
        <w:ind w:left="360" w:hanging="360"/>
      </w:pPr>
      <w:rPr>
        <w:rFonts w:ascii="Symbol" w:hAnsi="Symbol" w:hint="default"/>
      </w:rPr>
    </w:lvl>
    <w:lvl w:ilvl="1" w:tplc="AB06A6AA">
      <w:start w:val="1"/>
      <w:numFmt w:val="bullet"/>
      <w:lvlText w:val="o"/>
      <w:lvlJc w:val="left"/>
      <w:pPr>
        <w:ind w:left="1080" w:hanging="360"/>
      </w:pPr>
      <w:rPr>
        <w:rFonts w:ascii="Courier New" w:hAnsi="Courier New" w:cs="Courier New" w:hint="default"/>
      </w:rPr>
    </w:lvl>
    <w:lvl w:ilvl="2" w:tplc="7A20AAEE">
      <w:start w:val="1"/>
      <w:numFmt w:val="bullet"/>
      <w:lvlText w:val=""/>
      <w:lvlJc w:val="left"/>
      <w:pPr>
        <w:ind w:left="1800" w:hanging="360"/>
      </w:pPr>
      <w:rPr>
        <w:rFonts w:ascii="Wingdings" w:hAnsi="Wingdings" w:hint="default"/>
      </w:rPr>
    </w:lvl>
    <w:lvl w:ilvl="3" w:tplc="002040E4">
      <w:start w:val="1"/>
      <w:numFmt w:val="bullet"/>
      <w:lvlText w:val=""/>
      <w:lvlJc w:val="left"/>
      <w:pPr>
        <w:ind w:left="2520" w:hanging="360"/>
      </w:pPr>
      <w:rPr>
        <w:rFonts w:ascii="Symbol" w:hAnsi="Symbol" w:hint="default"/>
      </w:rPr>
    </w:lvl>
    <w:lvl w:ilvl="4" w:tplc="D47AEE48">
      <w:start w:val="1"/>
      <w:numFmt w:val="bullet"/>
      <w:lvlText w:val="o"/>
      <w:lvlJc w:val="left"/>
      <w:pPr>
        <w:ind w:left="3240" w:hanging="360"/>
      </w:pPr>
      <w:rPr>
        <w:rFonts w:ascii="Courier New" w:hAnsi="Courier New" w:cs="Courier New" w:hint="default"/>
      </w:rPr>
    </w:lvl>
    <w:lvl w:ilvl="5" w:tplc="05EA5E4A">
      <w:start w:val="1"/>
      <w:numFmt w:val="bullet"/>
      <w:lvlText w:val=""/>
      <w:lvlJc w:val="left"/>
      <w:pPr>
        <w:ind w:left="3960" w:hanging="360"/>
      </w:pPr>
      <w:rPr>
        <w:rFonts w:ascii="Wingdings" w:hAnsi="Wingdings" w:hint="default"/>
      </w:rPr>
    </w:lvl>
    <w:lvl w:ilvl="6" w:tplc="CDB2B84E">
      <w:start w:val="1"/>
      <w:numFmt w:val="bullet"/>
      <w:lvlText w:val=""/>
      <w:lvlJc w:val="left"/>
      <w:pPr>
        <w:ind w:left="4680" w:hanging="360"/>
      </w:pPr>
      <w:rPr>
        <w:rFonts w:ascii="Symbol" w:hAnsi="Symbol" w:hint="default"/>
      </w:rPr>
    </w:lvl>
    <w:lvl w:ilvl="7" w:tplc="086C5988">
      <w:start w:val="1"/>
      <w:numFmt w:val="bullet"/>
      <w:lvlText w:val="o"/>
      <w:lvlJc w:val="left"/>
      <w:pPr>
        <w:ind w:left="5400" w:hanging="360"/>
      </w:pPr>
      <w:rPr>
        <w:rFonts w:ascii="Courier New" w:hAnsi="Courier New" w:cs="Courier New" w:hint="default"/>
      </w:rPr>
    </w:lvl>
    <w:lvl w:ilvl="8" w:tplc="3288187E">
      <w:start w:val="1"/>
      <w:numFmt w:val="bullet"/>
      <w:lvlText w:val=""/>
      <w:lvlJc w:val="left"/>
      <w:pPr>
        <w:ind w:left="6120" w:hanging="360"/>
      </w:pPr>
      <w:rPr>
        <w:rFonts w:ascii="Wingdings" w:hAnsi="Wingdings" w:hint="default"/>
      </w:rPr>
    </w:lvl>
  </w:abstractNum>
  <w:abstractNum w:abstractNumId="11" w15:restartNumberingAfterBreak="0">
    <w:nsid w:val="76ED3490"/>
    <w:multiLevelType w:val="hybridMultilevel"/>
    <w:tmpl w:val="4C2E0772"/>
    <w:lvl w:ilvl="0" w:tplc="3D38EFB8">
      <w:start w:val="1"/>
      <w:numFmt w:val="bullet"/>
      <w:lvlText w:val=""/>
      <w:lvlJc w:val="left"/>
      <w:pPr>
        <w:ind w:left="720" w:hanging="360"/>
      </w:pPr>
      <w:rPr>
        <w:rFonts w:ascii="Symbol" w:hAnsi="Symbol" w:hint="default"/>
      </w:rPr>
    </w:lvl>
    <w:lvl w:ilvl="1" w:tplc="2438EE40" w:tentative="1">
      <w:start w:val="1"/>
      <w:numFmt w:val="bullet"/>
      <w:lvlText w:val="o"/>
      <w:lvlJc w:val="left"/>
      <w:pPr>
        <w:ind w:left="1440" w:hanging="360"/>
      </w:pPr>
      <w:rPr>
        <w:rFonts w:ascii="Courier New" w:hAnsi="Courier New" w:cs="Courier New" w:hint="default"/>
      </w:rPr>
    </w:lvl>
    <w:lvl w:ilvl="2" w:tplc="CAE2DE8C" w:tentative="1">
      <w:start w:val="1"/>
      <w:numFmt w:val="bullet"/>
      <w:lvlText w:val=""/>
      <w:lvlJc w:val="left"/>
      <w:pPr>
        <w:ind w:left="2160" w:hanging="360"/>
      </w:pPr>
      <w:rPr>
        <w:rFonts w:ascii="Wingdings" w:hAnsi="Wingdings" w:hint="default"/>
      </w:rPr>
    </w:lvl>
    <w:lvl w:ilvl="3" w:tplc="3C90B7B0" w:tentative="1">
      <w:start w:val="1"/>
      <w:numFmt w:val="bullet"/>
      <w:lvlText w:val=""/>
      <w:lvlJc w:val="left"/>
      <w:pPr>
        <w:ind w:left="2880" w:hanging="360"/>
      </w:pPr>
      <w:rPr>
        <w:rFonts w:ascii="Symbol" w:hAnsi="Symbol" w:hint="default"/>
      </w:rPr>
    </w:lvl>
    <w:lvl w:ilvl="4" w:tplc="7E0886FE" w:tentative="1">
      <w:start w:val="1"/>
      <w:numFmt w:val="bullet"/>
      <w:lvlText w:val="o"/>
      <w:lvlJc w:val="left"/>
      <w:pPr>
        <w:ind w:left="3600" w:hanging="360"/>
      </w:pPr>
      <w:rPr>
        <w:rFonts w:ascii="Courier New" w:hAnsi="Courier New" w:cs="Courier New" w:hint="default"/>
      </w:rPr>
    </w:lvl>
    <w:lvl w:ilvl="5" w:tplc="39420140" w:tentative="1">
      <w:start w:val="1"/>
      <w:numFmt w:val="bullet"/>
      <w:lvlText w:val=""/>
      <w:lvlJc w:val="left"/>
      <w:pPr>
        <w:ind w:left="4320" w:hanging="360"/>
      </w:pPr>
      <w:rPr>
        <w:rFonts w:ascii="Wingdings" w:hAnsi="Wingdings" w:hint="default"/>
      </w:rPr>
    </w:lvl>
    <w:lvl w:ilvl="6" w:tplc="648A5BAC" w:tentative="1">
      <w:start w:val="1"/>
      <w:numFmt w:val="bullet"/>
      <w:lvlText w:val=""/>
      <w:lvlJc w:val="left"/>
      <w:pPr>
        <w:ind w:left="5040" w:hanging="360"/>
      </w:pPr>
      <w:rPr>
        <w:rFonts w:ascii="Symbol" w:hAnsi="Symbol" w:hint="default"/>
      </w:rPr>
    </w:lvl>
    <w:lvl w:ilvl="7" w:tplc="4366FF62" w:tentative="1">
      <w:start w:val="1"/>
      <w:numFmt w:val="bullet"/>
      <w:lvlText w:val="o"/>
      <w:lvlJc w:val="left"/>
      <w:pPr>
        <w:ind w:left="5760" w:hanging="360"/>
      </w:pPr>
      <w:rPr>
        <w:rFonts w:ascii="Courier New" w:hAnsi="Courier New" w:cs="Courier New" w:hint="default"/>
      </w:rPr>
    </w:lvl>
    <w:lvl w:ilvl="8" w:tplc="F1363A64" w:tentative="1">
      <w:start w:val="1"/>
      <w:numFmt w:val="bullet"/>
      <w:lvlText w:val=""/>
      <w:lvlJc w:val="left"/>
      <w:pPr>
        <w:ind w:left="6480" w:hanging="360"/>
      </w:pPr>
      <w:rPr>
        <w:rFonts w:ascii="Wingdings" w:hAnsi="Wingdings" w:hint="default"/>
      </w:rPr>
    </w:lvl>
  </w:abstractNum>
  <w:abstractNum w:abstractNumId="12" w15:restartNumberingAfterBreak="0">
    <w:nsid w:val="7F792027"/>
    <w:multiLevelType w:val="hybridMultilevel"/>
    <w:tmpl w:val="7FC8A388"/>
    <w:lvl w:ilvl="0" w:tplc="7FB277F6">
      <w:start w:val="1"/>
      <w:numFmt w:val="bullet"/>
      <w:lvlText w:val=""/>
      <w:lvlJc w:val="left"/>
      <w:pPr>
        <w:ind w:left="720" w:hanging="360"/>
      </w:pPr>
      <w:rPr>
        <w:rFonts w:ascii="Symbol" w:hAnsi="Symbol" w:hint="default"/>
      </w:rPr>
    </w:lvl>
    <w:lvl w:ilvl="1" w:tplc="728A78A6">
      <w:start w:val="1"/>
      <w:numFmt w:val="bullet"/>
      <w:lvlText w:val="o"/>
      <w:lvlJc w:val="left"/>
      <w:pPr>
        <w:ind w:left="1440" w:hanging="360"/>
      </w:pPr>
      <w:rPr>
        <w:rFonts w:ascii="Courier New" w:hAnsi="Courier New" w:cs="Courier New" w:hint="default"/>
      </w:rPr>
    </w:lvl>
    <w:lvl w:ilvl="2" w:tplc="D3DC58B8" w:tentative="1">
      <w:start w:val="1"/>
      <w:numFmt w:val="bullet"/>
      <w:lvlText w:val=""/>
      <w:lvlJc w:val="left"/>
      <w:pPr>
        <w:ind w:left="2160" w:hanging="360"/>
      </w:pPr>
      <w:rPr>
        <w:rFonts w:ascii="Wingdings" w:hAnsi="Wingdings" w:hint="default"/>
      </w:rPr>
    </w:lvl>
    <w:lvl w:ilvl="3" w:tplc="F8D8163A" w:tentative="1">
      <w:start w:val="1"/>
      <w:numFmt w:val="bullet"/>
      <w:lvlText w:val=""/>
      <w:lvlJc w:val="left"/>
      <w:pPr>
        <w:ind w:left="2880" w:hanging="360"/>
      </w:pPr>
      <w:rPr>
        <w:rFonts w:ascii="Symbol" w:hAnsi="Symbol" w:hint="default"/>
      </w:rPr>
    </w:lvl>
    <w:lvl w:ilvl="4" w:tplc="31166F44" w:tentative="1">
      <w:start w:val="1"/>
      <w:numFmt w:val="bullet"/>
      <w:lvlText w:val="o"/>
      <w:lvlJc w:val="left"/>
      <w:pPr>
        <w:ind w:left="3600" w:hanging="360"/>
      </w:pPr>
      <w:rPr>
        <w:rFonts w:ascii="Courier New" w:hAnsi="Courier New" w:cs="Courier New" w:hint="default"/>
      </w:rPr>
    </w:lvl>
    <w:lvl w:ilvl="5" w:tplc="24A4EBEE" w:tentative="1">
      <w:start w:val="1"/>
      <w:numFmt w:val="bullet"/>
      <w:lvlText w:val=""/>
      <w:lvlJc w:val="left"/>
      <w:pPr>
        <w:ind w:left="4320" w:hanging="360"/>
      </w:pPr>
      <w:rPr>
        <w:rFonts w:ascii="Wingdings" w:hAnsi="Wingdings" w:hint="default"/>
      </w:rPr>
    </w:lvl>
    <w:lvl w:ilvl="6" w:tplc="90989628" w:tentative="1">
      <w:start w:val="1"/>
      <w:numFmt w:val="bullet"/>
      <w:lvlText w:val=""/>
      <w:lvlJc w:val="left"/>
      <w:pPr>
        <w:ind w:left="5040" w:hanging="360"/>
      </w:pPr>
      <w:rPr>
        <w:rFonts w:ascii="Symbol" w:hAnsi="Symbol" w:hint="default"/>
      </w:rPr>
    </w:lvl>
    <w:lvl w:ilvl="7" w:tplc="21F642A6" w:tentative="1">
      <w:start w:val="1"/>
      <w:numFmt w:val="bullet"/>
      <w:lvlText w:val="o"/>
      <w:lvlJc w:val="left"/>
      <w:pPr>
        <w:ind w:left="5760" w:hanging="360"/>
      </w:pPr>
      <w:rPr>
        <w:rFonts w:ascii="Courier New" w:hAnsi="Courier New" w:cs="Courier New" w:hint="default"/>
      </w:rPr>
    </w:lvl>
    <w:lvl w:ilvl="8" w:tplc="443E8B3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2"/>
  </w:num>
  <w:num w:numId="5">
    <w:abstractNumId w:val="6"/>
  </w:num>
  <w:num w:numId="6">
    <w:abstractNumId w:val="9"/>
  </w:num>
  <w:num w:numId="7">
    <w:abstractNumId w:val="3"/>
  </w:num>
  <w:num w:numId="8">
    <w:abstractNumId w:val="1"/>
  </w:num>
  <w:num w:numId="9">
    <w:abstractNumId w:val="10"/>
  </w:num>
  <w:num w:numId="10">
    <w:abstractNumId w:val="5"/>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56"/>
    <w:rsid w:val="006A7256"/>
    <w:rsid w:val="00BC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FC7F269-E9F5-4BA2-94FD-895F5204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88CD-5AFE-47A3-AFEF-22FD8680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5136</Words>
  <Characters>29280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Gorman, Dave</cp:lastModifiedBy>
  <cp:revision>5</cp:revision>
  <cp:lastPrinted>2020-01-24T13:49:00Z</cp:lastPrinted>
  <dcterms:created xsi:type="dcterms:W3CDTF">2020-01-24T15:49:00Z</dcterms:created>
  <dcterms:modified xsi:type="dcterms:W3CDTF">2020-01-29T13:57:00Z</dcterms:modified>
</cp:coreProperties>
</file>